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10FFC" w14:textId="0CCB3BBD" w:rsidR="00393022" w:rsidRDefault="00393022" w:rsidP="00024755">
      <w:pPr>
        <w:spacing w:after="0"/>
        <w:jc w:val="center"/>
        <w:rPr>
          <w:rFonts w:ascii="Arial" w:hAnsi="Arial" w:cs="Arial"/>
          <w:b/>
          <w:sz w:val="32"/>
          <w:szCs w:val="32"/>
        </w:rPr>
      </w:pPr>
      <w:r>
        <w:rPr>
          <w:noProof/>
        </w:rPr>
        <mc:AlternateContent>
          <mc:Choice Requires="wps">
            <w:drawing>
              <wp:anchor distT="0" distB="0" distL="114300" distR="114300" simplePos="0" relativeHeight="251659264" behindDoc="0" locked="0" layoutInCell="1" allowOverlap="1" wp14:anchorId="6BBF755C" wp14:editId="2B063100">
                <wp:simplePos x="0" y="0"/>
                <wp:positionH relativeFrom="column">
                  <wp:posOffset>0</wp:posOffset>
                </wp:positionH>
                <wp:positionV relativeFrom="paragraph">
                  <wp:posOffset>-635</wp:posOffset>
                </wp:positionV>
                <wp:extent cx="1781175" cy="5429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ECAC24" w14:textId="1B7123BB" w:rsidR="00393022" w:rsidRPr="00393022" w:rsidRDefault="00393022" w:rsidP="00393022">
                            <w:pPr>
                              <w:spacing w:after="0" w:line="240" w:lineRule="auto"/>
                              <w:ind w:right="13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F755C" id="_x0000_t202" coordsize="21600,21600" o:spt="202" path="m,l,21600r21600,l21600,xe">
                <v:stroke joinstyle="miter"/>
                <v:path gradientshapeok="t" o:connecttype="rect"/>
              </v:shapetype>
              <v:shape id="Text Box 3" o:spid="_x0000_s1026" type="#_x0000_t202" style="position:absolute;left:0;text-align:left;margin-left:0;margin-top:-.05pt;width:140.2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" stroked="f">
                <v:textbox>
                  <w:txbxContent>
                    <w:p w14:paraId="69ECAC24" w14:textId="1B7123BB" w:rsidR="00393022" w:rsidRPr="00393022" w:rsidRDefault="00393022" w:rsidP="00393022">
                      <w:pPr>
                        <w:spacing w:after="0" w:line="240" w:lineRule="auto"/>
                        <w:ind w:right="130"/>
                        <w:rPr>
                          <w:rFonts w:ascii="Arial" w:hAnsi="Arial" w:cs="Arial"/>
                          <w:sz w:val="20"/>
                        </w:rPr>
                      </w:pPr>
                    </w:p>
                  </w:txbxContent>
                </v:textbox>
              </v:shape>
            </w:pict>
          </mc:Fallback>
        </mc:AlternateContent>
      </w:r>
      <w:r w:rsidRPr="00295F23">
        <w:rPr>
          <w:noProof/>
        </w:rPr>
        <w:drawing>
          <wp:inline distT="0" distB="0" distL="0" distR="0" wp14:anchorId="53CFB647" wp14:editId="6290AFA3">
            <wp:extent cx="1690255" cy="837582"/>
            <wp:effectExtent l="0" t="0" r="5715" b="635"/>
            <wp:docPr id="2" name="Picture 2" descr="SAA_col-stri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A_col-stripp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1363" cy="843087"/>
                    </a:xfrm>
                    <a:prstGeom prst="rect">
                      <a:avLst/>
                    </a:prstGeom>
                    <a:noFill/>
                    <a:ln>
                      <a:noFill/>
                    </a:ln>
                  </pic:spPr>
                </pic:pic>
              </a:graphicData>
            </a:graphic>
          </wp:inline>
        </w:drawing>
      </w:r>
    </w:p>
    <w:p w14:paraId="6BF1D7D7" w14:textId="77777777" w:rsidR="00393022" w:rsidRPr="00393022" w:rsidRDefault="00393022" w:rsidP="00393022">
      <w:pPr>
        <w:spacing w:after="0" w:line="240" w:lineRule="auto"/>
        <w:jc w:val="center"/>
        <w:rPr>
          <w:rFonts w:ascii="Arial" w:hAnsi="Arial" w:cs="Arial"/>
          <w:b/>
          <w:sz w:val="28"/>
          <w:szCs w:val="28"/>
        </w:rPr>
      </w:pPr>
    </w:p>
    <w:p w14:paraId="2283BA65" w14:textId="37B31322" w:rsidR="00C541F1" w:rsidRPr="00393022" w:rsidRDefault="00024755" w:rsidP="00393022">
      <w:pPr>
        <w:spacing w:after="0" w:line="240" w:lineRule="auto"/>
        <w:jc w:val="center"/>
        <w:rPr>
          <w:rFonts w:ascii="Arial" w:hAnsi="Arial" w:cs="Arial"/>
          <w:b/>
          <w:sz w:val="28"/>
          <w:szCs w:val="28"/>
        </w:rPr>
      </w:pPr>
      <w:r w:rsidRPr="00393022">
        <w:rPr>
          <w:rFonts w:ascii="Arial" w:hAnsi="Arial" w:cs="Arial"/>
          <w:b/>
          <w:sz w:val="28"/>
          <w:szCs w:val="28"/>
        </w:rPr>
        <w:t>Revaluation 20</w:t>
      </w:r>
      <w:r w:rsidR="00454B04" w:rsidRPr="00393022">
        <w:rPr>
          <w:rFonts w:ascii="Arial" w:hAnsi="Arial" w:cs="Arial"/>
          <w:b/>
          <w:sz w:val="28"/>
          <w:szCs w:val="28"/>
        </w:rPr>
        <w:t>23</w:t>
      </w:r>
    </w:p>
    <w:p w14:paraId="32927EF2" w14:textId="77777777" w:rsidR="00024755" w:rsidRPr="00393022" w:rsidRDefault="00024755" w:rsidP="00393022">
      <w:pPr>
        <w:spacing w:after="0" w:line="240" w:lineRule="auto"/>
        <w:jc w:val="center"/>
        <w:rPr>
          <w:rFonts w:ascii="Arial" w:hAnsi="Arial" w:cs="Arial"/>
          <w:b/>
          <w:sz w:val="28"/>
          <w:szCs w:val="28"/>
        </w:rPr>
      </w:pPr>
    </w:p>
    <w:p w14:paraId="391CE3FB" w14:textId="77777777" w:rsidR="00024755" w:rsidRPr="00393022" w:rsidRDefault="00024755" w:rsidP="00393022">
      <w:pPr>
        <w:spacing w:after="0" w:line="240" w:lineRule="auto"/>
        <w:jc w:val="center"/>
        <w:rPr>
          <w:rFonts w:ascii="Arial" w:hAnsi="Arial" w:cs="Arial"/>
          <w:b/>
          <w:sz w:val="28"/>
          <w:szCs w:val="28"/>
        </w:rPr>
      </w:pPr>
      <w:r w:rsidRPr="00393022">
        <w:rPr>
          <w:rFonts w:ascii="Arial" w:hAnsi="Arial" w:cs="Arial"/>
          <w:b/>
          <w:sz w:val="28"/>
          <w:szCs w:val="28"/>
        </w:rPr>
        <w:t>Commercial Properties Committee</w:t>
      </w:r>
    </w:p>
    <w:p w14:paraId="2462D466" w14:textId="77777777" w:rsidR="00024755" w:rsidRPr="00024755" w:rsidRDefault="00024755" w:rsidP="00393022">
      <w:pPr>
        <w:spacing w:after="0" w:line="240" w:lineRule="auto"/>
        <w:jc w:val="center"/>
        <w:rPr>
          <w:rFonts w:ascii="Arial" w:hAnsi="Arial" w:cs="Arial"/>
          <w:b/>
          <w:sz w:val="32"/>
          <w:szCs w:val="32"/>
        </w:rPr>
      </w:pPr>
    </w:p>
    <w:p w14:paraId="7E7B1A14" w14:textId="4D4A2568" w:rsidR="00024755" w:rsidRPr="00B8136C" w:rsidRDefault="00024755" w:rsidP="00393022">
      <w:pPr>
        <w:spacing w:after="0" w:line="240" w:lineRule="auto"/>
        <w:jc w:val="center"/>
        <w:rPr>
          <w:rFonts w:ascii="Arial" w:hAnsi="Arial" w:cs="Arial"/>
          <w:b/>
          <w:szCs w:val="24"/>
        </w:rPr>
      </w:pPr>
      <w:r w:rsidRPr="00B8136C">
        <w:rPr>
          <w:rFonts w:ascii="Arial" w:hAnsi="Arial" w:cs="Arial"/>
          <w:b/>
          <w:szCs w:val="24"/>
        </w:rPr>
        <w:t xml:space="preserve">Practice Note </w:t>
      </w:r>
      <w:r w:rsidR="002E2B9B">
        <w:rPr>
          <w:rFonts w:ascii="Arial" w:hAnsi="Arial" w:cs="Arial"/>
          <w:b/>
          <w:szCs w:val="24"/>
        </w:rPr>
        <w:t>15</w:t>
      </w:r>
    </w:p>
    <w:p w14:paraId="53A466FA" w14:textId="136504DB" w:rsidR="00024755" w:rsidRDefault="00024755" w:rsidP="00393022">
      <w:pPr>
        <w:spacing w:after="0" w:line="240" w:lineRule="auto"/>
        <w:jc w:val="center"/>
        <w:rPr>
          <w:rFonts w:ascii="Arial" w:hAnsi="Arial" w:cs="Arial"/>
          <w:b/>
          <w:szCs w:val="24"/>
        </w:rPr>
      </w:pPr>
      <w:r w:rsidRPr="00B8136C">
        <w:rPr>
          <w:rFonts w:ascii="Arial" w:hAnsi="Arial" w:cs="Arial"/>
          <w:b/>
          <w:szCs w:val="24"/>
        </w:rPr>
        <w:t>Valuation of Show</w:t>
      </w:r>
      <w:r w:rsidR="00D90520">
        <w:rPr>
          <w:rFonts w:ascii="Arial" w:hAnsi="Arial" w:cs="Arial"/>
          <w:b/>
          <w:szCs w:val="24"/>
        </w:rPr>
        <w:t xml:space="preserve"> H</w:t>
      </w:r>
      <w:r w:rsidRPr="00B8136C">
        <w:rPr>
          <w:rFonts w:ascii="Arial" w:hAnsi="Arial" w:cs="Arial"/>
          <w:b/>
          <w:szCs w:val="24"/>
        </w:rPr>
        <w:t>ouses</w:t>
      </w:r>
    </w:p>
    <w:p w14:paraId="2577FAAF" w14:textId="5B7A3E87" w:rsidR="00F34581" w:rsidRDefault="00F34581" w:rsidP="00F34581">
      <w:pPr>
        <w:spacing w:after="0" w:line="240" w:lineRule="auto"/>
        <w:jc w:val="center"/>
        <w:rPr>
          <w:rFonts w:ascii="Arial" w:hAnsi="Arial" w:cs="Arial"/>
          <w:b/>
          <w:szCs w:val="24"/>
        </w:rPr>
      </w:pPr>
    </w:p>
    <w:p w14:paraId="7BBD9A94" w14:textId="77777777" w:rsidR="00F34581" w:rsidRPr="00B8136C" w:rsidRDefault="00F34581" w:rsidP="008837B7">
      <w:pPr>
        <w:spacing w:after="0" w:line="240" w:lineRule="auto"/>
        <w:jc w:val="both"/>
        <w:rPr>
          <w:rFonts w:ascii="Arial" w:hAnsi="Arial" w:cs="Arial"/>
          <w:b/>
          <w:szCs w:val="24"/>
        </w:rPr>
      </w:pPr>
    </w:p>
    <w:p w14:paraId="2ACE262B" w14:textId="64B7B821" w:rsidR="00F34581" w:rsidRPr="00900C03" w:rsidRDefault="00F34581" w:rsidP="00AB4E2F">
      <w:pPr>
        <w:spacing w:after="0" w:line="240" w:lineRule="auto"/>
        <w:ind w:left="851" w:hanging="851"/>
        <w:jc w:val="both"/>
        <w:rPr>
          <w:rFonts w:ascii="Arial" w:hAnsi="Arial" w:cs="Arial"/>
          <w:b/>
        </w:rPr>
      </w:pPr>
      <w:r w:rsidRPr="00900C03">
        <w:rPr>
          <w:rFonts w:ascii="Arial" w:hAnsi="Arial" w:cs="Arial"/>
          <w:b/>
        </w:rPr>
        <w:t>1.0</w:t>
      </w:r>
      <w:r>
        <w:rPr>
          <w:rFonts w:ascii="Arial" w:hAnsi="Arial" w:cs="Arial"/>
          <w:b/>
        </w:rPr>
        <w:tab/>
      </w:r>
      <w:r w:rsidRPr="00900C03">
        <w:rPr>
          <w:rFonts w:ascii="Arial" w:hAnsi="Arial" w:cs="Arial"/>
          <w:b/>
        </w:rPr>
        <w:t>Introduction</w:t>
      </w:r>
    </w:p>
    <w:p w14:paraId="2397D842" w14:textId="77777777" w:rsidR="00F34581" w:rsidRPr="00024755" w:rsidRDefault="00F34581" w:rsidP="00AB4E2F">
      <w:pPr>
        <w:spacing w:after="0" w:line="240" w:lineRule="auto"/>
        <w:jc w:val="both"/>
        <w:rPr>
          <w:rFonts w:ascii="Arial" w:hAnsi="Arial" w:cs="Arial"/>
        </w:rPr>
      </w:pPr>
    </w:p>
    <w:p w14:paraId="0551AA01" w14:textId="076E5A9A" w:rsidR="00F34581" w:rsidRDefault="00F34581" w:rsidP="00AB4E2F">
      <w:pPr>
        <w:spacing w:after="0" w:line="240" w:lineRule="auto"/>
        <w:ind w:left="1701" w:hanging="850"/>
        <w:jc w:val="both"/>
        <w:rPr>
          <w:rFonts w:ascii="Arial" w:hAnsi="Arial" w:cs="Arial"/>
        </w:rPr>
      </w:pPr>
      <w:r w:rsidRPr="00024755">
        <w:rPr>
          <w:rFonts w:ascii="Arial" w:hAnsi="Arial" w:cs="Arial"/>
        </w:rPr>
        <w:t>1.1</w:t>
      </w:r>
      <w:r>
        <w:rPr>
          <w:rFonts w:ascii="Arial" w:hAnsi="Arial" w:cs="Arial"/>
        </w:rPr>
        <w:tab/>
        <w:t>This Practice Note applies to the valuation of show houses and associated sales offices found at speculatively built housing developments.</w:t>
      </w:r>
    </w:p>
    <w:p w14:paraId="28F3A612" w14:textId="77777777" w:rsidR="00F34581" w:rsidRPr="00024755" w:rsidRDefault="00F34581" w:rsidP="00AB4E2F">
      <w:pPr>
        <w:spacing w:after="0" w:line="240" w:lineRule="auto"/>
        <w:ind w:left="1843" w:hanging="992"/>
        <w:jc w:val="both"/>
        <w:rPr>
          <w:rFonts w:ascii="Arial" w:hAnsi="Arial" w:cs="Arial"/>
        </w:rPr>
      </w:pPr>
    </w:p>
    <w:p w14:paraId="62D620E9" w14:textId="4B875D46" w:rsidR="00F34581" w:rsidRPr="00900C03" w:rsidRDefault="00F34581" w:rsidP="00AB4E2F">
      <w:pPr>
        <w:spacing w:after="0" w:line="240" w:lineRule="auto"/>
        <w:ind w:left="851" w:hanging="851"/>
        <w:rPr>
          <w:rFonts w:ascii="Arial" w:hAnsi="Arial" w:cs="Arial"/>
          <w:b/>
        </w:rPr>
      </w:pPr>
      <w:r w:rsidRPr="00900C03">
        <w:rPr>
          <w:rFonts w:ascii="Arial" w:hAnsi="Arial" w:cs="Arial"/>
          <w:b/>
        </w:rPr>
        <w:t>2.0</w:t>
      </w:r>
      <w:r>
        <w:rPr>
          <w:rFonts w:ascii="Arial" w:hAnsi="Arial" w:cs="Arial"/>
          <w:b/>
        </w:rPr>
        <w:tab/>
      </w:r>
      <w:r w:rsidRPr="00900C03">
        <w:rPr>
          <w:rFonts w:ascii="Arial" w:hAnsi="Arial" w:cs="Arial"/>
          <w:b/>
        </w:rPr>
        <w:t>Basis of Valuation</w:t>
      </w:r>
    </w:p>
    <w:p w14:paraId="262AAE5D" w14:textId="77777777" w:rsidR="00F34581" w:rsidRPr="00024755" w:rsidRDefault="00F34581" w:rsidP="00AB4E2F">
      <w:pPr>
        <w:spacing w:after="0" w:line="240" w:lineRule="auto"/>
        <w:rPr>
          <w:rFonts w:ascii="Arial" w:hAnsi="Arial" w:cs="Arial"/>
        </w:rPr>
      </w:pPr>
    </w:p>
    <w:p w14:paraId="34C08792" w14:textId="6B721A3A" w:rsidR="00F34581" w:rsidRDefault="00F34581" w:rsidP="00AB4E2F">
      <w:pPr>
        <w:spacing w:after="0" w:line="240" w:lineRule="auto"/>
        <w:ind w:left="1701" w:hanging="850"/>
        <w:jc w:val="both"/>
        <w:rPr>
          <w:rFonts w:ascii="Arial" w:hAnsi="Arial" w:cs="Arial"/>
        </w:rPr>
      </w:pPr>
      <w:r>
        <w:rPr>
          <w:rFonts w:ascii="Arial" w:hAnsi="Arial" w:cs="Arial"/>
        </w:rPr>
        <w:t>2.1</w:t>
      </w:r>
      <w:r>
        <w:rPr>
          <w:rFonts w:ascii="Arial" w:hAnsi="Arial" w:cs="Arial"/>
        </w:rPr>
        <w:tab/>
        <w:t xml:space="preserve">Show houses are valued on the basis of the comparative principle at a percentage (%) of their estimated open market capital value as </w:t>
      </w:r>
      <w:proofErr w:type="gramStart"/>
      <w:r>
        <w:rPr>
          <w:rFonts w:ascii="Arial" w:hAnsi="Arial" w:cs="Arial"/>
        </w:rPr>
        <w:t>at</w:t>
      </w:r>
      <w:proofErr w:type="gramEnd"/>
      <w:r>
        <w:rPr>
          <w:rFonts w:ascii="Arial" w:hAnsi="Arial" w:cs="Arial"/>
        </w:rPr>
        <w:t xml:space="preserve"> 1 April 2022.  The recommended percentage of capital value in this Practice Note has been derived from an analysis of rental information.  An addition to be made for garages converted to sales offices is based on the </w:t>
      </w:r>
      <w:proofErr w:type="spellStart"/>
      <w:r>
        <w:rPr>
          <w:rFonts w:ascii="Arial" w:hAnsi="Arial" w:cs="Arial"/>
        </w:rPr>
        <w:t>rentalisation</w:t>
      </w:r>
      <w:proofErr w:type="spellEnd"/>
      <w:r>
        <w:rPr>
          <w:rFonts w:ascii="Arial" w:hAnsi="Arial" w:cs="Arial"/>
        </w:rPr>
        <w:t xml:space="preserve"> of the cost of conversion reflecting the short life of a typical show house.</w:t>
      </w:r>
    </w:p>
    <w:p w14:paraId="591DCB7F" w14:textId="77777777" w:rsidR="00F34581" w:rsidRDefault="00F34581" w:rsidP="00AB4E2F">
      <w:pPr>
        <w:spacing w:after="0" w:line="240" w:lineRule="auto"/>
        <w:jc w:val="both"/>
        <w:rPr>
          <w:rFonts w:ascii="Arial" w:hAnsi="Arial" w:cs="Arial"/>
        </w:rPr>
      </w:pPr>
    </w:p>
    <w:p w14:paraId="01C55183" w14:textId="785F7DBD" w:rsidR="00F34581" w:rsidRDefault="00F34581" w:rsidP="00AB4E2F">
      <w:pPr>
        <w:spacing w:after="0" w:line="240" w:lineRule="auto"/>
        <w:ind w:left="851" w:hanging="851"/>
        <w:jc w:val="both"/>
        <w:rPr>
          <w:rFonts w:ascii="Arial" w:hAnsi="Arial" w:cs="Arial"/>
          <w:b/>
        </w:rPr>
      </w:pPr>
      <w:r w:rsidRPr="00900C03">
        <w:rPr>
          <w:rFonts w:ascii="Arial" w:hAnsi="Arial" w:cs="Arial"/>
          <w:b/>
        </w:rPr>
        <w:t>3.0</w:t>
      </w:r>
      <w:r w:rsidR="008D4BBE">
        <w:rPr>
          <w:rFonts w:ascii="Arial" w:hAnsi="Arial" w:cs="Arial"/>
          <w:b/>
        </w:rPr>
        <w:tab/>
      </w:r>
      <w:r w:rsidRPr="00900C03">
        <w:rPr>
          <w:rFonts w:ascii="Arial" w:hAnsi="Arial" w:cs="Arial"/>
          <w:b/>
        </w:rPr>
        <w:t>Rental Analysis</w:t>
      </w:r>
    </w:p>
    <w:p w14:paraId="3EF57C94" w14:textId="77777777" w:rsidR="00F34581" w:rsidRPr="00024755" w:rsidRDefault="00F34581" w:rsidP="00AB4E2F">
      <w:pPr>
        <w:spacing w:after="0" w:line="240" w:lineRule="auto"/>
        <w:ind w:left="851" w:hanging="851"/>
        <w:jc w:val="both"/>
        <w:rPr>
          <w:rFonts w:ascii="Arial" w:hAnsi="Arial" w:cs="Arial"/>
        </w:rPr>
      </w:pPr>
    </w:p>
    <w:p w14:paraId="59BE70A1" w14:textId="223BC972" w:rsidR="00F34581" w:rsidRDefault="00F34581" w:rsidP="00AB4E2F">
      <w:pPr>
        <w:spacing w:after="0" w:line="240" w:lineRule="auto"/>
        <w:ind w:left="1701" w:hanging="850"/>
        <w:jc w:val="both"/>
        <w:rPr>
          <w:rFonts w:ascii="Arial" w:hAnsi="Arial" w:cs="Arial"/>
        </w:rPr>
      </w:pPr>
      <w:r>
        <w:rPr>
          <w:rFonts w:ascii="Arial" w:hAnsi="Arial" w:cs="Arial"/>
        </w:rPr>
        <w:t>3.1</w:t>
      </w:r>
      <w:r w:rsidR="008D4BBE">
        <w:rPr>
          <w:rFonts w:ascii="Arial" w:hAnsi="Arial" w:cs="Arial"/>
        </w:rPr>
        <w:tab/>
      </w:r>
      <w:r>
        <w:rPr>
          <w:rFonts w:ascii="Arial" w:hAnsi="Arial" w:cs="Arial"/>
        </w:rPr>
        <w:t>Rental analysis is undertaken in accordance with the SAA Basic Principles Committee Practice Note 1 Adjustment of Rents.</w:t>
      </w:r>
    </w:p>
    <w:p w14:paraId="6AABEDA8" w14:textId="77777777" w:rsidR="00AB4E2F" w:rsidRDefault="00AB4E2F" w:rsidP="00AB4E2F">
      <w:pPr>
        <w:spacing w:after="0" w:line="240" w:lineRule="auto"/>
        <w:ind w:left="1701" w:hanging="850"/>
        <w:jc w:val="both"/>
        <w:rPr>
          <w:rFonts w:ascii="Arial" w:hAnsi="Arial" w:cs="Arial"/>
        </w:rPr>
      </w:pPr>
    </w:p>
    <w:p w14:paraId="73E92D66" w14:textId="26C75E88" w:rsidR="00F34581" w:rsidRPr="00900C03" w:rsidRDefault="00F34581" w:rsidP="00AB4E2F">
      <w:pPr>
        <w:spacing w:after="0" w:line="240" w:lineRule="auto"/>
        <w:ind w:left="851" w:hanging="851"/>
        <w:jc w:val="both"/>
        <w:rPr>
          <w:rFonts w:ascii="Arial" w:hAnsi="Arial" w:cs="Arial"/>
          <w:b/>
        </w:rPr>
      </w:pPr>
      <w:r w:rsidRPr="00900C03">
        <w:rPr>
          <w:rFonts w:ascii="Arial" w:hAnsi="Arial" w:cs="Arial"/>
          <w:b/>
        </w:rPr>
        <w:t>4.0</w:t>
      </w:r>
      <w:r w:rsidR="008D4BBE">
        <w:rPr>
          <w:rFonts w:ascii="Arial" w:hAnsi="Arial" w:cs="Arial"/>
          <w:b/>
        </w:rPr>
        <w:tab/>
      </w:r>
      <w:r w:rsidRPr="00900C03">
        <w:rPr>
          <w:rFonts w:ascii="Arial" w:hAnsi="Arial" w:cs="Arial"/>
          <w:b/>
        </w:rPr>
        <w:t>Survey and Measurement</w:t>
      </w:r>
    </w:p>
    <w:p w14:paraId="5E1122BB" w14:textId="77777777" w:rsidR="00F34581" w:rsidRPr="00024755" w:rsidRDefault="00F34581" w:rsidP="00AB4E2F">
      <w:pPr>
        <w:spacing w:after="0" w:line="240" w:lineRule="auto"/>
        <w:ind w:left="851" w:hanging="851"/>
        <w:jc w:val="both"/>
        <w:rPr>
          <w:rFonts w:ascii="Arial" w:hAnsi="Arial" w:cs="Arial"/>
        </w:rPr>
      </w:pPr>
    </w:p>
    <w:p w14:paraId="6C1536CB" w14:textId="0CBC5FB1" w:rsidR="00F34581" w:rsidRDefault="00F34581" w:rsidP="00AB4E2F">
      <w:pPr>
        <w:spacing w:after="0" w:line="240" w:lineRule="auto"/>
        <w:ind w:left="1701" w:hanging="850"/>
        <w:jc w:val="both"/>
        <w:rPr>
          <w:rFonts w:ascii="Arial" w:hAnsi="Arial" w:cs="Arial"/>
        </w:rPr>
      </w:pPr>
      <w:r>
        <w:rPr>
          <w:rFonts w:ascii="Arial" w:hAnsi="Arial" w:cs="Arial"/>
        </w:rPr>
        <w:t>4.1</w:t>
      </w:r>
      <w:r w:rsidR="008D4BBE">
        <w:rPr>
          <w:rFonts w:ascii="Arial" w:hAnsi="Arial" w:cs="Arial"/>
        </w:rPr>
        <w:tab/>
      </w:r>
      <w:r>
        <w:rPr>
          <w:rFonts w:ascii="Arial" w:hAnsi="Arial" w:cs="Arial"/>
        </w:rPr>
        <w:t>Subjects valued in accordance with this practice note should be measured to Gross External Area (GEA).  No reduction factors should be applied to upper floors.  Attic floors should be measured internally but excluding floor areas with a ceiling height of 1.5m or less.</w:t>
      </w:r>
    </w:p>
    <w:p w14:paraId="04E405D5" w14:textId="77777777" w:rsidR="00F34581" w:rsidRDefault="00F34581" w:rsidP="00AB4E2F">
      <w:pPr>
        <w:spacing w:after="0" w:line="240" w:lineRule="auto"/>
        <w:ind w:left="1701" w:hanging="850"/>
        <w:jc w:val="both"/>
        <w:rPr>
          <w:rFonts w:ascii="Arial" w:hAnsi="Arial" w:cs="Arial"/>
        </w:rPr>
      </w:pPr>
    </w:p>
    <w:p w14:paraId="731EDE50" w14:textId="740B3E66" w:rsidR="008D4BBE" w:rsidRPr="00D90520" w:rsidRDefault="008D4BBE" w:rsidP="00AB4E2F">
      <w:pPr>
        <w:spacing w:after="0" w:line="240" w:lineRule="auto"/>
        <w:ind w:left="851" w:hanging="851"/>
        <w:jc w:val="both"/>
        <w:rPr>
          <w:rFonts w:ascii="Arial" w:hAnsi="Arial" w:cs="Arial"/>
          <w:b/>
        </w:rPr>
      </w:pPr>
      <w:r w:rsidRPr="00D90520">
        <w:rPr>
          <w:rFonts w:ascii="Arial" w:hAnsi="Arial" w:cs="Arial"/>
          <w:b/>
        </w:rPr>
        <w:t>5.0</w:t>
      </w:r>
      <w:r>
        <w:rPr>
          <w:rFonts w:ascii="Arial" w:hAnsi="Arial" w:cs="Arial"/>
          <w:b/>
        </w:rPr>
        <w:tab/>
      </w:r>
      <w:r w:rsidRPr="00D90520">
        <w:rPr>
          <w:rFonts w:ascii="Arial" w:hAnsi="Arial" w:cs="Arial"/>
          <w:b/>
        </w:rPr>
        <w:t>Categories of Subject</w:t>
      </w:r>
    </w:p>
    <w:p w14:paraId="779BFC4B" w14:textId="77777777" w:rsidR="008D4BBE" w:rsidRPr="00024755" w:rsidRDefault="008D4BBE" w:rsidP="00AB4E2F">
      <w:pPr>
        <w:spacing w:after="0" w:line="240" w:lineRule="auto"/>
        <w:ind w:left="1701" w:hanging="850"/>
        <w:jc w:val="both"/>
        <w:rPr>
          <w:rFonts w:ascii="Arial" w:hAnsi="Arial" w:cs="Arial"/>
        </w:rPr>
      </w:pPr>
    </w:p>
    <w:p w14:paraId="1FD02870" w14:textId="0C35A057" w:rsidR="008D4BBE" w:rsidRDefault="008D4BBE" w:rsidP="00AB4E2F">
      <w:pPr>
        <w:spacing w:after="0" w:line="240" w:lineRule="auto"/>
        <w:ind w:left="1701" w:hanging="850"/>
        <w:jc w:val="both"/>
        <w:rPr>
          <w:rFonts w:ascii="Arial" w:hAnsi="Arial" w:cs="Arial"/>
        </w:rPr>
      </w:pPr>
      <w:r>
        <w:rPr>
          <w:rFonts w:ascii="Arial" w:hAnsi="Arial" w:cs="Arial"/>
        </w:rPr>
        <w:t>5.1</w:t>
      </w:r>
      <w:r>
        <w:rPr>
          <w:rFonts w:ascii="Arial" w:hAnsi="Arial" w:cs="Arial"/>
        </w:rPr>
        <w:tab/>
        <w:t xml:space="preserve">Show houses are provided by builders who construct houses speculatively </w:t>
      </w:r>
      <w:proofErr w:type="gramStart"/>
      <w:r>
        <w:rPr>
          <w:rFonts w:ascii="Arial" w:hAnsi="Arial" w:cs="Arial"/>
        </w:rPr>
        <w:t>in order to</w:t>
      </w:r>
      <w:proofErr w:type="gramEnd"/>
      <w:r>
        <w:rPr>
          <w:rFonts w:ascii="Arial" w:hAnsi="Arial" w:cs="Arial"/>
        </w:rPr>
        <w:t xml:space="preserve"> allow prospective purchasers to appreciate the quality, layout and desirability of completed properties.  The purchaser is expected to reserve a new property, which will be completed sometime in the future </w:t>
      </w:r>
      <w:proofErr w:type="gramStart"/>
      <w:r>
        <w:rPr>
          <w:rFonts w:ascii="Arial" w:hAnsi="Arial" w:cs="Arial"/>
        </w:rPr>
        <w:t>on the basis o</w:t>
      </w:r>
      <w:r w:rsidRPr="001465AA">
        <w:rPr>
          <w:rFonts w:ascii="Arial" w:hAnsi="Arial" w:cs="Arial"/>
        </w:rPr>
        <w:t>f</w:t>
      </w:r>
      <w:proofErr w:type="gramEnd"/>
      <w:r w:rsidRPr="001465AA">
        <w:rPr>
          <w:rFonts w:ascii="Arial" w:hAnsi="Arial" w:cs="Arial"/>
        </w:rPr>
        <w:t xml:space="preserve"> an inspection of the </w:t>
      </w:r>
      <w:r>
        <w:rPr>
          <w:rFonts w:ascii="Arial" w:hAnsi="Arial" w:cs="Arial"/>
        </w:rPr>
        <w:t>s</w:t>
      </w:r>
      <w:r w:rsidRPr="001465AA">
        <w:rPr>
          <w:rFonts w:ascii="Arial" w:hAnsi="Arial" w:cs="Arial"/>
        </w:rPr>
        <w:t xml:space="preserve">how house.  Show houses and their associated sales offices can generally be categorised as </w:t>
      </w:r>
      <w:proofErr w:type="gramStart"/>
      <w:r w:rsidRPr="001465AA">
        <w:rPr>
          <w:rFonts w:ascii="Arial" w:hAnsi="Arial" w:cs="Arial"/>
        </w:rPr>
        <w:t>follows:-</w:t>
      </w:r>
      <w:proofErr w:type="gramEnd"/>
    </w:p>
    <w:p w14:paraId="0054F390" w14:textId="77777777" w:rsidR="00823EBE" w:rsidRPr="001465AA" w:rsidRDefault="00823EBE" w:rsidP="00AB4E2F">
      <w:pPr>
        <w:spacing w:after="0" w:line="240" w:lineRule="auto"/>
        <w:ind w:left="1701" w:hanging="850"/>
        <w:jc w:val="both"/>
        <w:rPr>
          <w:rFonts w:ascii="Arial" w:hAnsi="Arial" w:cs="Arial"/>
        </w:rPr>
      </w:pPr>
    </w:p>
    <w:p w14:paraId="0FAC1B78" w14:textId="77777777" w:rsidR="008D4BBE" w:rsidRDefault="008D4BBE" w:rsidP="00AB4E2F">
      <w:pPr>
        <w:spacing w:after="0" w:line="240" w:lineRule="auto"/>
        <w:jc w:val="both"/>
        <w:rPr>
          <w:rFonts w:ascii="Arial" w:hAnsi="Arial" w:cs="Arial"/>
        </w:rPr>
      </w:pPr>
    </w:p>
    <w:p w14:paraId="255D11CD" w14:textId="6C2E1D66" w:rsidR="008D4BBE" w:rsidRPr="001465AA" w:rsidRDefault="008D4BBE" w:rsidP="00AB4E2F">
      <w:pPr>
        <w:spacing w:after="0" w:line="240" w:lineRule="auto"/>
        <w:ind w:left="1701" w:hanging="850"/>
        <w:jc w:val="both"/>
        <w:rPr>
          <w:rFonts w:ascii="Arial" w:hAnsi="Arial" w:cs="Arial"/>
        </w:rPr>
      </w:pPr>
      <w:r w:rsidRPr="001465AA">
        <w:rPr>
          <w:rFonts w:ascii="Arial" w:hAnsi="Arial" w:cs="Arial"/>
        </w:rPr>
        <w:t>5.1.1</w:t>
      </w:r>
      <w:r w:rsidR="008837B7">
        <w:rPr>
          <w:rFonts w:ascii="Arial" w:hAnsi="Arial" w:cs="Arial"/>
        </w:rPr>
        <w:tab/>
      </w:r>
      <w:r w:rsidRPr="008837B7">
        <w:rPr>
          <w:rFonts w:ascii="Arial" w:hAnsi="Arial" w:cs="Arial"/>
          <w:b/>
          <w:bCs/>
        </w:rPr>
        <w:t>Furnished Show House</w:t>
      </w:r>
    </w:p>
    <w:p w14:paraId="7E80A801" w14:textId="77777777" w:rsidR="008D4BBE" w:rsidRPr="001465AA" w:rsidRDefault="008D4BBE" w:rsidP="00AB4E2F">
      <w:pPr>
        <w:spacing w:after="0" w:line="240" w:lineRule="auto"/>
        <w:jc w:val="both"/>
        <w:rPr>
          <w:rFonts w:ascii="Arial" w:hAnsi="Arial" w:cs="Arial"/>
        </w:rPr>
      </w:pPr>
    </w:p>
    <w:p w14:paraId="2612A8B6" w14:textId="4541E85A" w:rsidR="008837B7" w:rsidRDefault="008837B7" w:rsidP="00AB4E2F">
      <w:pPr>
        <w:spacing w:after="0" w:line="240" w:lineRule="auto"/>
        <w:ind w:left="1701" w:hanging="850"/>
        <w:jc w:val="both"/>
        <w:rPr>
          <w:rFonts w:ascii="Arial" w:hAnsi="Arial" w:cs="Arial"/>
        </w:rPr>
      </w:pPr>
      <w:r>
        <w:rPr>
          <w:rFonts w:ascii="Arial" w:hAnsi="Arial" w:cs="Arial"/>
        </w:rPr>
        <w:tab/>
      </w:r>
      <w:r w:rsidR="008D4BBE">
        <w:rPr>
          <w:rFonts w:ascii="Arial" w:hAnsi="Arial" w:cs="Arial"/>
        </w:rPr>
        <w:t>Completed dwelling furnished throughout with furniture, carpets, curtains, light fittings and domestic appliances.  The furniture and soft furnishings may be provided by one supplier whose name is displayed.  The furnished show house is therefore not only a vehicle for selling houses but also for advertising furniture and soft furnishings.  Sales transactions are often conducted in a converted garage of the show house.  When there is no sales office on site, sales transactions are sometimes conducted in a room of the show house.</w:t>
      </w:r>
    </w:p>
    <w:p w14:paraId="05E4BEDE" w14:textId="77777777" w:rsidR="008D4BBE" w:rsidRPr="001465AA" w:rsidRDefault="008D4BBE" w:rsidP="00AB4E2F">
      <w:pPr>
        <w:spacing w:after="0" w:line="240" w:lineRule="auto"/>
        <w:rPr>
          <w:rFonts w:ascii="Arial" w:hAnsi="Arial" w:cs="Arial"/>
        </w:rPr>
      </w:pPr>
    </w:p>
    <w:p w14:paraId="1253EDB4" w14:textId="0CED5C86" w:rsidR="008D4BBE" w:rsidRPr="001465AA" w:rsidRDefault="008D4BBE" w:rsidP="00AB4E2F">
      <w:pPr>
        <w:spacing w:after="0" w:line="240" w:lineRule="auto"/>
        <w:ind w:left="1701" w:hanging="850"/>
        <w:jc w:val="both"/>
        <w:rPr>
          <w:rFonts w:ascii="Arial" w:hAnsi="Arial" w:cs="Arial"/>
        </w:rPr>
      </w:pPr>
      <w:r w:rsidRPr="001465AA">
        <w:rPr>
          <w:rFonts w:ascii="Arial" w:hAnsi="Arial" w:cs="Arial"/>
        </w:rPr>
        <w:t>5.1.2</w:t>
      </w:r>
      <w:r w:rsidR="008837B7">
        <w:rPr>
          <w:rFonts w:ascii="Arial" w:hAnsi="Arial" w:cs="Arial"/>
        </w:rPr>
        <w:tab/>
      </w:r>
      <w:r w:rsidRPr="008837B7">
        <w:rPr>
          <w:rFonts w:ascii="Arial" w:hAnsi="Arial" w:cs="Arial"/>
          <w:b/>
          <w:bCs/>
        </w:rPr>
        <w:t>Unfurnished Show House</w:t>
      </w:r>
    </w:p>
    <w:p w14:paraId="38D2C7BE" w14:textId="77777777" w:rsidR="008D4BBE" w:rsidRPr="001465AA" w:rsidRDefault="008D4BBE" w:rsidP="00AB4E2F">
      <w:pPr>
        <w:spacing w:after="0" w:line="240" w:lineRule="auto"/>
        <w:jc w:val="both"/>
        <w:rPr>
          <w:rFonts w:ascii="Arial" w:hAnsi="Arial" w:cs="Arial"/>
        </w:rPr>
      </w:pPr>
    </w:p>
    <w:p w14:paraId="7279332A" w14:textId="010E68B5" w:rsidR="008D4BBE" w:rsidRDefault="008837B7" w:rsidP="00AB4E2F">
      <w:pPr>
        <w:spacing w:after="0" w:line="240" w:lineRule="auto"/>
        <w:ind w:left="1701" w:hanging="850"/>
        <w:jc w:val="both"/>
        <w:rPr>
          <w:rFonts w:ascii="Arial" w:hAnsi="Arial" w:cs="Arial"/>
        </w:rPr>
      </w:pPr>
      <w:r>
        <w:rPr>
          <w:rFonts w:ascii="Arial" w:hAnsi="Arial" w:cs="Arial"/>
        </w:rPr>
        <w:tab/>
      </w:r>
      <w:r w:rsidR="008D4BBE">
        <w:rPr>
          <w:rFonts w:ascii="Arial" w:hAnsi="Arial" w:cs="Arial"/>
        </w:rPr>
        <w:t xml:space="preserve">A completed dwelling which is shown in the condition that it will be in when handed over to the purchaser, but the developer is either “holding” the subject to permit inspection and is unwilling to proceed with an early </w:t>
      </w:r>
      <w:proofErr w:type="gramStart"/>
      <w:r w:rsidR="008D4BBE">
        <w:rPr>
          <w:rFonts w:ascii="Arial" w:hAnsi="Arial" w:cs="Arial"/>
        </w:rPr>
        <w:t>sale, or</w:t>
      </w:r>
      <w:proofErr w:type="gramEnd"/>
      <w:r w:rsidR="008D4BBE">
        <w:rPr>
          <w:rFonts w:ascii="Arial" w:hAnsi="Arial" w:cs="Arial"/>
        </w:rPr>
        <w:t xml:space="preserve"> is making use of a completed but unsold property.</w:t>
      </w:r>
    </w:p>
    <w:p w14:paraId="2EACB431" w14:textId="77777777" w:rsidR="008D4BBE" w:rsidRDefault="008D4BBE" w:rsidP="00AB4E2F">
      <w:pPr>
        <w:spacing w:after="0" w:line="240" w:lineRule="auto"/>
        <w:ind w:left="1701" w:hanging="850"/>
        <w:jc w:val="both"/>
        <w:rPr>
          <w:rFonts w:ascii="Arial" w:hAnsi="Arial" w:cs="Arial"/>
        </w:rPr>
      </w:pPr>
    </w:p>
    <w:p w14:paraId="32897EDD" w14:textId="20D38B46" w:rsidR="008D4BBE" w:rsidRDefault="008837B7" w:rsidP="00AB4E2F">
      <w:pPr>
        <w:spacing w:after="0" w:line="240" w:lineRule="auto"/>
        <w:ind w:left="1701" w:hanging="850"/>
        <w:jc w:val="both"/>
        <w:rPr>
          <w:rFonts w:ascii="Arial" w:hAnsi="Arial" w:cs="Arial"/>
        </w:rPr>
      </w:pPr>
      <w:r>
        <w:rPr>
          <w:rFonts w:ascii="Arial" w:hAnsi="Arial" w:cs="Arial"/>
        </w:rPr>
        <w:tab/>
      </w:r>
      <w:r w:rsidR="008D4BBE">
        <w:rPr>
          <w:rFonts w:ascii="Arial" w:hAnsi="Arial" w:cs="Arial"/>
        </w:rPr>
        <w:t xml:space="preserve">Often </w:t>
      </w:r>
      <w:proofErr w:type="gramStart"/>
      <w:r w:rsidR="008D4BBE">
        <w:rPr>
          <w:rFonts w:ascii="Arial" w:hAnsi="Arial" w:cs="Arial"/>
        </w:rPr>
        <w:t>a number of</w:t>
      </w:r>
      <w:proofErr w:type="gramEnd"/>
      <w:r w:rsidR="008D4BBE">
        <w:rPr>
          <w:rFonts w:ascii="Arial" w:hAnsi="Arial" w:cs="Arial"/>
        </w:rPr>
        <w:t xml:space="preserve"> houses may be built of the same type within a scheme and potential purchasers given the opportunity to inspect those that lie empty.  Where the builder is merely permitting this type of inspection of completed empty houses that are genuinely for sale, the subjects remain as dwellings and may fall to be entered in the Council Tax Valuation List.</w:t>
      </w:r>
    </w:p>
    <w:p w14:paraId="6B520A29" w14:textId="77777777" w:rsidR="008D4BBE" w:rsidRPr="001465AA" w:rsidRDefault="008D4BBE" w:rsidP="00AB4E2F">
      <w:pPr>
        <w:spacing w:after="0" w:line="240" w:lineRule="auto"/>
        <w:rPr>
          <w:rFonts w:ascii="Arial" w:hAnsi="Arial" w:cs="Arial"/>
        </w:rPr>
      </w:pPr>
    </w:p>
    <w:p w14:paraId="10A87A5A" w14:textId="52E3BF3D" w:rsidR="008D4BBE" w:rsidRPr="001465AA" w:rsidRDefault="008D4BBE" w:rsidP="00AB4E2F">
      <w:pPr>
        <w:spacing w:after="0" w:line="240" w:lineRule="auto"/>
        <w:ind w:left="1701" w:hanging="850"/>
        <w:jc w:val="both"/>
        <w:rPr>
          <w:rFonts w:ascii="Arial" w:hAnsi="Arial" w:cs="Arial"/>
        </w:rPr>
      </w:pPr>
      <w:r w:rsidRPr="001465AA">
        <w:rPr>
          <w:rFonts w:ascii="Arial" w:hAnsi="Arial" w:cs="Arial"/>
        </w:rPr>
        <w:t>5.1.3</w:t>
      </w:r>
      <w:r w:rsidR="008837B7">
        <w:rPr>
          <w:rFonts w:ascii="Arial" w:hAnsi="Arial" w:cs="Arial"/>
        </w:rPr>
        <w:tab/>
      </w:r>
      <w:r w:rsidRPr="008837B7">
        <w:rPr>
          <w:rFonts w:ascii="Arial" w:hAnsi="Arial" w:cs="Arial"/>
          <w:b/>
          <w:bCs/>
        </w:rPr>
        <w:t>Sales Offices</w:t>
      </w:r>
    </w:p>
    <w:p w14:paraId="2ACFCC9A" w14:textId="77777777" w:rsidR="008D4BBE" w:rsidRDefault="008D4BBE" w:rsidP="00AB4E2F">
      <w:pPr>
        <w:spacing w:after="0" w:line="240" w:lineRule="auto"/>
        <w:ind w:left="1701" w:hanging="850"/>
        <w:jc w:val="both"/>
        <w:rPr>
          <w:rFonts w:ascii="Arial" w:hAnsi="Arial" w:cs="Arial"/>
        </w:rPr>
      </w:pPr>
    </w:p>
    <w:p w14:paraId="00E8E825" w14:textId="33D6D9C9" w:rsidR="008D4BBE" w:rsidRDefault="008837B7" w:rsidP="00AB4E2F">
      <w:pPr>
        <w:spacing w:after="0" w:line="240" w:lineRule="auto"/>
        <w:ind w:left="1701" w:hanging="850"/>
        <w:jc w:val="both"/>
        <w:rPr>
          <w:rFonts w:ascii="Arial" w:hAnsi="Arial" w:cs="Arial"/>
        </w:rPr>
      </w:pPr>
      <w:r>
        <w:rPr>
          <w:rFonts w:ascii="Arial" w:hAnsi="Arial" w:cs="Arial"/>
        </w:rPr>
        <w:tab/>
      </w:r>
      <w:r w:rsidR="00081A1B">
        <w:rPr>
          <w:rFonts w:ascii="Arial" w:hAnsi="Arial" w:cs="Arial"/>
        </w:rPr>
        <w:t xml:space="preserve">Subjects occupied by the sales </w:t>
      </w:r>
      <w:proofErr w:type="gramStart"/>
      <w:r w:rsidR="00081A1B">
        <w:rPr>
          <w:rFonts w:ascii="Arial" w:hAnsi="Arial" w:cs="Arial"/>
        </w:rPr>
        <w:t>representatives</w:t>
      </w:r>
      <w:proofErr w:type="gramEnd"/>
      <w:r w:rsidR="00081A1B">
        <w:rPr>
          <w:rFonts w:ascii="Arial" w:hAnsi="Arial" w:cs="Arial"/>
        </w:rPr>
        <w:t xml:space="preserve"> and in which proposed house sales and financial matters are discussed. </w:t>
      </w:r>
      <w:r w:rsidR="008D4BBE">
        <w:rPr>
          <w:rFonts w:ascii="Arial" w:hAnsi="Arial" w:cs="Arial"/>
        </w:rPr>
        <w:t>Sales offices are generally located in converted garages or in stand-alone modular offices, ranging from high quality structures with expensive fittings to basic portacabins.  However, in some instances, part of the show house itself may be used as a sales office, for example, in a kitchen or bedroom.</w:t>
      </w:r>
    </w:p>
    <w:p w14:paraId="021E8FC3" w14:textId="77777777" w:rsidR="008D4BBE" w:rsidRDefault="008D4BBE" w:rsidP="00AB4E2F">
      <w:pPr>
        <w:spacing w:after="0" w:line="240" w:lineRule="auto"/>
        <w:ind w:left="1701" w:hanging="850"/>
        <w:jc w:val="both"/>
        <w:rPr>
          <w:rFonts w:ascii="Arial" w:hAnsi="Arial" w:cs="Arial"/>
        </w:rPr>
      </w:pPr>
    </w:p>
    <w:p w14:paraId="65D6A7E4" w14:textId="16276D39" w:rsidR="008837B7" w:rsidRDefault="008D4BBE" w:rsidP="00AB4E2F">
      <w:pPr>
        <w:spacing w:after="0" w:line="240" w:lineRule="auto"/>
        <w:ind w:left="1701" w:hanging="850"/>
        <w:jc w:val="both"/>
        <w:rPr>
          <w:rFonts w:ascii="Arial" w:hAnsi="Arial" w:cs="Arial"/>
          <w:b/>
          <w:bCs/>
        </w:rPr>
      </w:pPr>
      <w:r>
        <w:rPr>
          <w:rFonts w:ascii="Arial" w:hAnsi="Arial" w:cs="Arial"/>
        </w:rPr>
        <w:t>5.1.4</w:t>
      </w:r>
      <w:r w:rsidR="008837B7">
        <w:rPr>
          <w:rFonts w:ascii="Arial" w:hAnsi="Arial" w:cs="Arial"/>
        </w:rPr>
        <w:tab/>
      </w:r>
      <w:r w:rsidRPr="008837B7">
        <w:rPr>
          <w:rFonts w:ascii="Arial" w:hAnsi="Arial" w:cs="Arial"/>
          <w:b/>
          <w:bCs/>
        </w:rPr>
        <w:t>Show House Complex</w:t>
      </w:r>
    </w:p>
    <w:p w14:paraId="0195EAE5" w14:textId="77777777" w:rsidR="007955DC" w:rsidRDefault="007955DC" w:rsidP="00AB4E2F">
      <w:pPr>
        <w:spacing w:after="0" w:line="240" w:lineRule="auto"/>
        <w:ind w:left="1701" w:hanging="850"/>
        <w:jc w:val="both"/>
        <w:rPr>
          <w:rFonts w:ascii="Arial" w:hAnsi="Arial" w:cs="Arial"/>
        </w:rPr>
      </w:pPr>
    </w:p>
    <w:p w14:paraId="209ACC9E" w14:textId="76F3C000" w:rsidR="008D4BBE" w:rsidRDefault="008837B7" w:rsidP="00AB4E2F">
      <w:pPr>
        <w:spacing w:after="0" w:line="240" w:lineRule="auto"/>
        <w:ind w:left="1701" w:hanging="850"/>
        <w:jc w:val="both"/>
        <w:rPr>
          <w:rFonts w:ascii="Arial" w:hAnsi="Arial" w:cs="Arial"/>
        </w:rPr>
      </w:pPr>
      <w:r>
        <w:rPr>
          <w:rFonts w:ascii="Arial" w:hAnsi="Arial" w:cs="Arial"/>
        </w:rPr>
        <w:tab/>
      </w:r>
      <w:r w:rsidR="008D4BBE">
        <w:rPr>
          <w:rFonts w:ascii="Arial" w:hAnsi="Arial" w:cs="Arial"/>
        </w:rPr>
        <w:t xml:space="preserve">On larger developments house builders may find it advantageous to provide show house complexes of several different types of </w:t>
      </w:r>
      <w:proofErr w:type="gramStart"/>
      <w:r w:rsidR="008D4BBE">
        <w:rPr>
          <w:rFonts w:ascii="Arial" w:hAnsi="Arial" w:cs="Arial"/>
        </w:rPr>
        <w:t>house</w:t>
      </w:r>
      <w:proofErr w:type="gramEnd"/>
      <w:r w:rsidR="008D4BBE">
        <w:rPr>
          <w:rFonts w:ascii="Arial" w:hAnsi="Arial" w:cs="Arial"/>
        </w:rPr>
        <w:t xml:space="preserve"> with the whole area being fenced off and the grounds landscaped.  Flag poles will often be sited at the front to advertise the presence of the show houses.  Prospective purchasers are encouraged to follow a pre-determined route taking them through each house type and culminating in the sales office.</w:t>
      </w:r>
    </w:p>
    <w:p w14:paraId="6DA87FCB" w14:textId="77777777" w:rsidR="008D4BBE" w:rsidRDefault="008D4BBE" w:rsidP="00AB4E2F">
      <w:pPr>
        <w:spacing w:after="0" w:line="240" w:lineRule="auto"/>
        <w:jc w:val="both"/>
        <w:rPr>
          <w:rFonts w:ascii="Arial" w:hAnsi="Arial" w:cs="Arial"/>
        </w:rPr>
      </w:pPr>
    </w:p>
    <w:p w14:paraId="386600F8" w14:textId="1A80FCE9" w:rsidR="00B8136C" w:rsidRDefault="0017662F" w:rsidP="00AB4E2F">
      <w:pPr>
        <w:spacing w:after="0" w:line="240" w:lineRule="auto"/>
        <w:jc w:val="right"/>
        <w:rPr>
          <w:rFonts w:ascii="Arial" w:hAnsi="Arial" w:cs="Arial"/>
        </w:rPr>
      </w:pPr>
      <w:r>
        <w:rPr>
          <w:rFonts w:ascii="Arial" w:hAnsi="Arial" w:cs="Arial"/>
        </w:rPr>
        <w:t xml:space="preserve"> </w:t>
      </w:r>
    </w:p>
    <w:p w14:paraId="2043C851" w14:textId="77777777" w:rsidR="0017662F" w:rsidRDefault="0017662F" w:rsidP="00AB4E2F">
      <w:pPr>
        <w:spacing w:after="0" w:line="240" w:lineRule="auto"/>
        <w:rPr>
          <w:rFonts w:ascii="Arial" w:hAnsi="Arial" w:cs="Arial"/>
        </w:rPr>
        <w:sectPr w:rsidR="0017662F" w:rsidSect="008D4BBE">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18" w:left="1134" w:header="709" w:footer="709" w:gutter="0"/>
          <w:cols w:space="708"/>
          <w:docGrid w:linePitch="360"/>
        </w:sectPr>
      </w:pPr>
    </w:p>
    <w:p w14:paraId="5EBFDB80" w14:textId="2D7A42DE" w:rsidR="002602BD" w:rsidRPr="00B24D1F" w:rsidRDefault="002602BD" w:rsidP="00AB4E2F">
      <w:pPr>
        <w:tabs>
          <w:tab w:val="left" w:pos="851"/>
        </w:tabs>
        <w:spacing w:after="0" w:line="240" w:lineRule="auto"/>
        <w:rPr>
          <w:rFonts w:ascii="Arial" w:hAnsi="Arial" w:cs="Arial"/>
          <w:b/>
        </w:rPr>
      </w:pPr>
      <w:r w:rsidRPr="00B24D1F">
        <w:rPr>
          <w:rFonts w:ascii="Arial" w:hAnsi="Arial" w:cs="Arial"/>
          <w:b/>
        </w:rPr>
        <w:lastRenderedPageBreak/>
        <w:t>6.0</w:t>
      </w:r>
      <w:r>
        <w:rPr>
          <w:rFonts w:ascii="Arial" w:hAnsi="Arial" w:cs="Arial"/>
          <w:b/>
        </w:rPr>
        <w:tab/>
      </w:r>
      <w:r w:rsidRPr="00B24D1F">
        <w:rPr>
          <w:rFonts w:ascii="Arial" w:hAnsi="Arial" w:cs="Arial"/>
          <w:b/>
        </w:rPr>
        <w:t>Valuation</w:t>
      </w:r>
    </w:p>
    <w:p w14:paraId="138A5206" w14:textId="77777777" w:rsidR="002602BD" w:rsidRPr="00024755" w:rsidRDefault="002602BD" w:rsidP="00AB4E2F">
      <w:pPr>
        <w:spacing w:after="0" w:line="240" w:lineRule="auto"/>
        <w:rPr>
          <w:rFonts w:ascii="Arial" w:hAnsi="Arial" w:cs="Arial"/>
        </w:rPr>
      </w:pPr>
    </w:p>
    <w:p w14:paraId="19FEFE0A" w14:textId="369B3584" w:rsidR="002602BD" w:rsidRDefault="002602BD" w:rsidP="00AB4E2F">
      <w:pPr>
        <w:spacing w:after="0" w:line="240" w:lineRule="auto"/>
        <w:ind w:left="1701" w:hanging="850"/>
        <w:rPr>
          <w:rFonts w:ascii="Arial" w:hAnsi="Arial" w:cs="Arial"/>
          <w:b/>
          <w:bCs/>
        </w:rPr>
      </w:pPr>
      <w:r>
        <w:rPr>
          <w:rFonts w:ascii="Arial" w:hAnsi="Arial" w:cs="Arial"/>
        </w:rPr>
        <w:t>6.1</w:t>
      </w:r>
      <w:r>
        <w:rPr>
          <w:rFonts w:ascii="Arial" w:hAnsi="Arial" w:cs="Arial"/>
        </w:rPr>
        <w:tab/>
      </w:r>
      <w:r w:rsidRPr="002602BD">
        <w:rPr>
          <w:rFonts w:ascii="Arial" w:hAnsi="Arial" w:cs="Arial"/>
          <w:b/>
          <w:bCs/>
        </w:rPr>
        <w:t>Capital Value</w:t>
      </w:r>
    </w:p>
    <w:p w14:paraId="7B60CA5D" w14:textId="77777777" w:rsidR="002602BD" w:rsidRDefault="002602BD" w:rsidP="00AB4E2F">
      <w:pPr>
        <w:spacing w:after="0" w:line="240" w:lineRule="auto"/>
        <w:ind w:left="1701" w:hanging="850"/>
        <w:rPr>
          <w:rFonts w:ascii="Arial" w:hAnsi="Arial" w:cs="Arial"/>
        </w:rPr>
      </w:pPr>
    </w:p>
    <w:p w14:paraId="3281E696" w14:textId="34EBB76D" w:rsidR="002602BD" w:rsidRDefault="002602BD" w:rsidP="00AB4E2F">
      <w:pPr>
        <w:spacing w:after="0" w:line="240" w:lineRule="auto"/>
        <w:ind w:left="1701" w:hanging="850"/>
        <w:jc w:val="both"/>
        <w:rPr>
          <w:rFonts w:ascii="Arial" w:hAnsi="Arial" w:cs="Arial"/>
        </w:rPr>
      </w:pPr>
      <w:r>
        <w:rPr>
          <w:rFonts w:ascii="Arial" w:hAnsi="Arial" w:cs="Arial"/>
        </w:rPr>
        <w:tab/>
        <w:t xml:space="preserve">Capital Value should reflect the value of the subject if placed on the open market </w:t>
      </w:r>
      <w:proofErr w:type="gramStart"/>
      <w:r>
        <w:rPr>
          <w:rFonts w:ascii="Arial" w:hAnsi="Arial" w:cs="Arial"/>
        </w:rPr>
        <w:t>at</w:t>
      </w:r>
      <w:proofErr w:type="gramEnd"/>
      <w:r>
        <w:rPr>
          <w:rFonts w:ascii="Arial" w:hAnsi="Arial" w:cs="Arial"/>
        </w:rPr>
        <w:t xml:space="preserve"> 1 April 2022.  Sale prices for similar subjects at or around this date should be analysed and a suitable rate per m</w:t>
      </w:r>
      <w:r>
        <w:rPr>
          <w:rFonts w:ascii="Arial" w:hAnsi="Arial" w:cs="Arial"/>
          <w:vertAlign w:val="superscript"/>
        </w:rPr>
        <w:t>2</w:t>
      </w:r>
      <w:r>
        <w:rPr>
          <w:rFonts w:ascii="Arial" w:hAnsi="Arial" w:cs="Arial"/>
        </w:rPr>
        <w:t xml:space="preserve"> applied to appropriate types of show house, </w:t>
      </w:r>
      <w:proofErr w:type="spellStart"/>
      <w:r>
        <w:rPr>
          <w:rFonts w:ascii="Arial" w:hAnsi="Arial" w:cs="Arial"/>
        </w:rPr>
        <w:t>eg</w:t>
      </w:r>
      <w:proofErr w:type="spellEnd"/>
      <w:r>
        <w:rPr>
          <w:rFonts w:ascii="Arial" w:hAnsi="Arial" w:cs="Arial"/>
        </w:rPr>
        <w:t xml:space="preserve"> flat, semi-detached or terraced to arrive at an estimated capital value.  The above approach is recommended to give a degree of uniformity and comparability in show house NAV’s.  Care should be taken to ensure the analysed rate includes or excludes a garage, as appropriate, to mirror the position with the show house being valued.</w:t>
      </w:r>
    </w:p>
    <w:p w14:paraId="3C77D991" w14:textId="77777777" w:rsidR="002602BD" w:rsidRDefault="002602BD" w:rsidP="00AB4E2F">
      <w:pPr>
        <w:spacing w:after="0" w:line="240" w:lineRule="auto"/>
        <w:ind w:left="1701" w:hanging="850"/>
        <w:jc w:val="both"/>
        <w:rPr>
          <w:rFonts w:ascii="Arial" w:hAnsi="Arial" w:cs="Arial"/>
        </w:rPr>
      </w:pPr>
    </w:p>
    <w:p w14:paraId="5CE257AE" w14:textId="51E89A1A" w:rsidR="002602BD" w:rsidRDefault="002602BD" w:rsidP="00AB4E2F">
      <w:pPr>
        <w:spacing w:after="0" w:line="240" w:lineRule="auto"/>
        <w:ind w:left="1701" w:hanging="850"/>
        <w:jc w:val="both"/>
        <w:rPr>
          <w:rFonts w:ascii="Arial" w:hAnsi="Arial" w:cs="Arial"/>
        </w:rPr>
      </w:pPr>
      <w:r>
        <w:rPr>
          <w:rFonts w:ascii="Arial" w:hAnsi="Arial" w:cs="Arial"/>
        </w:rPr>
        <w:tab/>
        <w:t>The rate per m</w:t>
      </w:r>
      <w:r>
        <w:rPr>
          <w:rFonts w:ascii="Arial" w:hAnsi="Arial" w:cs="Arial"/>
          <w:vertAlign w:val="superscript"/>
        </w:rPr>
        <w:t>2</w:t>
      </w:r>
      <w:r>
        <w:rPr>
          <w:rFonts w:ascii="Arial" w:hAnsi="Arial" w:cs="Arial"/>
        </w:rPr>
        <w:t xml:space="preserve"> should be applied to the external area of the </w:t>
      </w:r>
      <w:r w:rsidRPr="00B32770">
        <w:rPr>
          <w:rFonts w:ascii="Arial" w:hAnsi="Arial" w:cs="Arial"/>
        </w:rPr>
        <w:t>show house</w:t>
      </w:r>
      <w:r>
        <w:rPr>
          <w:rFonts w:ascii="Arial" w:hAnsi="Arial" w:cs="Arial"/>
        </w:rPr>
        <w:t xml:space="preserve"> only.  The existence of an office in the accompanying garage is dealt with below by the addition of a fixed amount.</w:t>
      </w:r>
    </w:p>
    <w:p w14:paraId="724A9D67" w14:textId="77777777" w:rsidR="002602BD" w:rsidRDefault="002602BD" w:rsidP="00AB4E2F">
      <w:pPr>
        <w:spacing w:after="0" w:line="240" w:lineRule="auto"/>
        <w:ind w:left="1701" w:hanging="850"/>
        <w:jc w:val="both"/>
        <w:rPr>
          <w:rFonts w:ascii="Arial" w:hAnsi="Arial" w:cs="Arial"/>
        </w:rPr>
      </w:pPr>
    </w:p>
    <w:p w14:paraId="3385678A" w14:textId="636CB88D" w:rsidR="002602BD" w:rsidRDefault="002602BD" w:rsidP="00AB4E2F">
      <w:pPr>
        <w:spacing w:after="0" w:line="240" w:lineRule="auto"/>
        <w:ind w:left="1701" w:hanging="850"/>
        <w:jc w:val="both"/>
        <w:rPr>
          <w:rFonts w:ascii="Arial" w:hAnsi="Arial" w:cs="Arial"/>
        </w:rPr>
      </w:pPr>
      <w:r>
        <w:rPr>
          <w:rFonts w:ascii="Arial" w:hAnsi="Arial" w:cs="Arial"/>
        </w:rPr>
        <w:tab/>
        <w:t>Alternatively, actual capital values suitably adjusted to 1 April 2022 levels of value should be used.</w:t>
      </w:r>
    </w:p>
    <w:p w14:paraId="3CB5C4EB" w14:textId="77777777" w:rsidR="002602BD" w:rsidRPr="00024755" w:rsidRDefault="002602BD" w:rsidP="00AB4E2F">
      <w:pPr>
        <w:spacing w:after="0" w:line="240" w:lineRule="auto"/>
        <w:rPr>
          <w:rFonts w:ascii="Arial" w:hAnsi="Arial" w:cs="Arial"/>
        </w:rPr>
      </w:pPr>
    </w:p>
    <w:p w14:paraId="3473B1B3" w14:textId="4D74AE6F" w:rsidR="002602BD" w:rsidRDefault="002602BD" w:rsidP="00AB4E2F">
      <w:pPr>
        <w:spacing w:after="0" w:line="240" w:lineRule="auto"/>
        <w:ind w:left="1701" w:hanging="850"/>
        <w:rPr>
          <w:rFonts w:ascii="Arial" w:hAnsi="Arial" w:cs="Arial"/>
        </w:rPr>
      </w:pPr>
      <w:r>
        <w:rPr>
          <w:rFonts w:ascii="Arial" w:hAnsi="Arial" w:cs="Arial"/>
        </w:rPr>
        <w:t>6.2</w:t>
      </w:r>
      <w:r>
        <w:rPr>
          <w:rFonts w:ascii="Arial" w:hAnsi="Arial" w:cs="Arial"/>
        </w:rPr>
        <w:tab/>
      </w:r>
      <w:r w:rsidRPr="00AB1590">
        <w:rPr>
          <w:rFonts w:ascii="Arial" w:hAnsi="Arial" w:cs="Arial"/>
          <w:b/>
          <w:bCs/>
        </w:rPr>
        <w:t>Percentage applied to Capital Value</w:t>
      </w:r>
    </w:p>
    <w:p w14:paraId="33BD43FF" w14:textId="77777777" w:rsidR="002602BD" w:rsidRDefault="002602BD" w:rsidP="00AB4E2F">
      <w:pPr>
        <w:spacing w:after="0" w:line="240" w:lineRule="auto"/>
        <w:ind w:left="1701" w:hanging="850"/>
        <w:rPr>
          <w:rFonts w:ascii="Arial" w:hAnsi="Arial" w:cs="Arial"/>
        </w:rPr>
      </w:pPr>
    </w:p>
    <w:p w14:paraId="7EE661EE" w14:textId="42EB0F3A" w:rsidR="002602BD" w:rsidRDefault="002602BD" w:rsidP="00AB4E2F">
      <w:pPr>
        <w:spacing w:after="0" w:line="240" w:lineRule="auto"/>
        <w:ind w:left="1701" w:hanging="850"/>
        <w:jc w:val="both"/>
        <w:rPr>
          <w:rFonts w:ascii="Arial" w:hAnsi="Arial" w:cs="Arial"/>
        </w:rPr>
      </w:pPr>
      <w:r>
        <w:rPr>
          <w:rFonts w:ascii="Arial" w:hAnsi="Arial" w:cs="Arial"/>
        </w:rPr>
        <w:tab/>
        <w:t xml:space="preserve">To achieve Net Annual Value the following percentage should be </w:t>
      </w:r>
      <w:proofErr w:type="gramStart"/>
      <w:r>
        <w:rPr>
          <w:rFonts w:ascii="Arial" w:hAnsi="Arial" w:cs="Arial"/>
        </w:rPr>
        <w:t>applied:-</w:t>
      </w:r>
      <w:proofErr w:type="gramEnd"/>
    </w:p>
    <w:p w14:paraId="6747DCF2" w14:textId="77777777" w:rsidR="002602BD" w:rsidRDefault="002602BD" w:rsidP="00AB4E2F">
      <w:pPr>
        <w:spacing w:after="0" w:line="240" w:lineRule="auto"/>
        <w:ind w:left="1701" w:hanging="850"/>
        <w:jc w:val="both"/>
        <w:rPr>
          <w:rFonts w:ascii="Arial" w:hAnsi="Arial" w:cs="Arial"/>
        </w:rPr>
      </w:pPr>
    </w:p>
    <w:p w14:paraId="4AF428EC" w14:textId="3CD8BDC8" w:rsidR="002602BD" w:rsidRDefault="002602BD" w:rsidP="00AB4E2F">
      <w:pPr>
        <w:spacing w:after="0" w:line="240" w:lineRule="auto"/>
        <w:ind w:left="1701" w:hanging="850"/>
        <w:jc w:val="both"/>
        <w:rPr>
          <w:rFonts w:ascii="Arial" w:hAnsi="Arial" w:cs="Arial"/>
        </w:rPr>
      </w:pPr>
      <w:r>
        <w:rPr>
          <w:rFonts w:ascii="Arial" w:hAnsi="Arial" w:cs="Arial"/>
        </w:rPr>
        <w:tab/>
      </w:r>
      <w:r w:rsidR="00B32770">
        <w:rPr>
          <w:rFonts w:ascii="Arial" w:hAnsi="Arial" w:cs="Arial"/>
        </w:rPr>
        <w:t>6</w:t>
      </w:r>
      <w:r>
        <w:rPr>
          <w:rFonts w:ascii="Arial" w:hAnsi="Arial" w:cs="Arial"/>
        </w:rPr>
        <w:t>% of the estimated capital value of the show house.</w:t>
      </w:r>
    </w:p>
    <w:p w14:paraId="7CEDD211" w14:textId="77777777" w:rsidR="00AB1590" w:rsidRPr="00024755" w:rsidRDefault="00AB1590" w:rsidP="00AB4E2F">
      <w:pPr>
        <w:spacing w:after="0" w:line="240" w:lineRule="auto"/>
        <w:rPr>
          <w:rFonts w:ascii="Arial" w:hAnsi="Arial" w:cs="Arial"/>
        </w:rPr>
      </w:pPr>
    </w:p>
    <w:p w14:paraId="161F46A4" w14:textId="54CEDD53" w:rsidR="00AB1590" w:rsidRDefault="00AB1590" w:rsidP="00AB4E2F">
      <w:pPr>
        <w:spacing w:after="0" w:line="240" w:lineRule="auto"/>
        <w:ind w:left="1701" w:hanging="850"/>
        <w:rPr>
          <w:rFonts w:ascii="Arial" w:hAnsi="Arial" w:cs="Arial"/>
        </w:rPr>
      </w:pPr>
      <w:r>
        <w:rPr>
          <w:rFonts w:ascii="Arial" w:hAnsi="Arial" w:cs="Arial"/>
        </w:rPr>
        <w:t>6.3</w:t>
      </w:r>
      <w:r w:rsidR="00887BF3">
        <w:rPr>
          <w:rFonts w:ascii="Arial" w:hAnsi="Arial" w:cs="Arial"/>
        </w:rPr>
        <w:tab/>
      </w:r>
      <w:r w:rsidRPr="00887BF3">
        <w:rPr>
          <w:rFonts w:ascii="Arial" w:hAnsi="Arial" w:cs="Arial"/>
          <w:b/>
          <w:bCs/>
        </w:rPr>
        <w:t>Properties of Significant Value</w:t>
      </w:r>
    </w:p>
    <w:p w14:paraId="2724A58D" w14:textId="77777777" w:rsidR="00AB1590" w:rsidRDefault="00AB1590" w:rsidP="00AB4E2F">
      <w:pPr>
        <w:spacing w:after="0" w:line="240" w:lineRule="auto"/>
        <w:ind w:left="1701" w:hanging="850"/>
        <w:rPr>
          <w:rFonts w:ascii="Arial" w:hAnsi="Arial" w:cs="Arial"/>
        </w:rPr>
      </w:pPr>
    </w:p>
    <w:p w14:paraId="43EFE65E" w14:textId="1FBDDDC3" w:rsidR="00AB1590" w:rsidRDefault="00887BF3" w:rsidP="00AB4E2F">
      <w:pPr>
        <w:spacing w:after="0" w:line="240" w:lineRule="auto"/>
        <w:ind w:left="1701" w:hanging="850"/>
        <w:jc w:val="both"/>
        <w:rPr>
          <w:rFonts w:ascii="Arial" w:hAnsi="Arial" w:cs="Arial"/>
        </w:rPr>
      </w:pPr>
      <w:r>
        <w:rPr>
          <w:rFonts w:ascii="Arial" w:hAnsi="Arial" w:cs="Arial"/>
        </w:rPr>
        <w:tab/>
      </w:r>
      <w:r w:rsidR="00AB1590">
        <w:rPr>
          <w:rFonts w:ascii="Arial" w:hAnsi="Arial" w:cs="Arial"/>
        </w:rPr>
        <w:t xml:space="preserve">If a property is deemed to be of significantly greater value than the normal value for that property type in the locality, then it may be appropriate to make an adjustment to the percentage applied to the estimated capital value at 6.2 above.  Where such circumstances exist, </w:t>
      </w:r>
      <w:r w:rsidR="00B32770">
        <w:rPr>
          <w:rFonts w:ascii="Arial" w:hAnsi="Arial" w:cs="Arial"/>
        </w:rPr>
        <w:t>5</w:t>
      </w:r>
      <w:r w:rsidR="00AB1590">
        <w:rPr>
          <w:rFonts w:ascii="Arial" w:hAnsi="Arial" w:cs="Arial"/>
        </w:rPr>
        <w:t>.5% of estimated capital value may be adopted.</w:t>
      </w:r>
    </w:p>
    <w:p w14:paraId="16CD2227" w14:textId="77777777" w:rsidR="00887BF3" w:rsidRDefault="00887BF3" w:rsidP="00AB4E2F">
      <w:pPr>
        <w:spacing w:after="0" w:line="240" w:lineRule="auto"/>
        <w:rPr>
          <w:rFonts w:ascii="Arial" w:hAnsi="Arial" w:cs="Arial"/>
        </w:rPr>
      </w:pPr>
    </w:p>
    <w:p w14:paraId="151E72EF" w14:textId="6BC01AB4" w:rsidR="00887BF3" w:rsidRDefault="00887BF3" w:rsidP="00AB4E2F">
      <w:pPr>
        <w:spacing w:after="0" w:line="240" w:lineRule="auto"/>
        <w:ind w:left="1701" w:hanging="850"/>
        <w:rPr>
          <w:rFonts w:ascii="Arial" w:hAnsi="Arial" w:cs="Arial"/>
        </w:rPr>
      </w:pPr>
      <w:r>
        <w:rPr>
          <w:rFonts w:ascii="Arial" w:hAnsi="Arial" w:cs="Arial"/>
        </w:rPr>
        <w:t>6.4</w:t>
      </w:r>
      <w:r>
        <w:rPr>
          <w:rFonts w:ascii="Arial" w:hAnsi="Arial" w:cs="Arial"/>
        </w:rPr>
        <w:tab/>
      </w:r>
      <w:r w:rsidRPr="00887BF3">
        <w:rPr>
          <w:rFonts w:ascii="Arial" w:hAnsi="Arial" w:cs="Arial"/>
          <w:b/>
          <w:bCs/>
        </w:rPr>
        <w:t>Addition for Converted Garage</w:t>
      </w:r>
    </w:p>
    <w:p w14:paraId="03088F72" w14:textId="77777777" w:rsidR="00887BF3" w:rsidRDefault="00887BF3" w:rsidP="00AB4E2F">
      <w:pPr>
        <w:spacing w:after="0" w:line="240" w:lineRule="auto"/>
        <w:ind w:left="1701" w:hanging="850"/>
        <w:rPr>
          <w:rFonts w:ascii="Arial" w:hAnsi="Arial" w:cs="Arial"/>
        </w:rPr>
      </w:pPr>
    </w:p>
    <w:p w14:paraId="7A73C7E0" w14:textId="43CD611A" w:rsidR="00887BF3" w:rsidRDefault="00887BF3" w:rsidP="00AB4E2F">
      <w:pPr>
        <w:spacing w:after="0" w:line="240" w:lineRule="auto"/>
        <w:ind w:left="1701" w:hanging="850"/>
        <w:jc w:val="both"/>
        <w:rPr>
          <w:rFonts w:ascii="Arial" w:hAnsi="Arial" w:cs="Arial"/>
        </w:rPr>
      </w:pPr>
      <w:r>
        <w:rPr>
          <w:rFonts w:ascii="Arial" w:hAnsi="Arial" w:cs="Arial"/>
        </w:rPr>
        <w:tab/>
        <w:t xml:space="preserve">Where the garage has been converted to a sales office, make the following addition to </w:t>
      </w:r>
      <w:proofErr w:type="gramStart"/>
      <w:r>
        <w:rPr>
          <w:rFonts w:ascii="Arial" w:hAnsi="Arial" w:cs="Arial"/>
        </w:rPr>
        <w:t>NAV:-</w:t>
      </w:r>
      <w:proofErr w:type="gramEnd"/>
    </w:p>
    <w:p w14:paraId="46C7D6CF" w14:textId="77777777" w:rsidR="00887BF3" w:rsidRDefault="00887BF3" w:rsidP="00AB4E2F">
      <w:pPr>
        <w:spacing w:after="0" w:line="240" w:lineRule="auto"/>
        <w:ind w:left="1701" w:hanging="850"/>
        <w:jc w:val="both"/>
        <w:rPr>
          <w:rFonts w:ascii="Arial" w:hAnsi="Arial" w:cs="Arial"/>
        </w:rPr>
      </w:pPr>
    </w:p>
    <w:p w14:paraId="7B88AC78" w14:textId="39130A12" w:rsidR="00887BF3" w:rsidRPr="009D3938" w:rsidRDefault="00887BF3" w:rsidP="00AB4E2F">
      <w:pPr>
        <w:spacing w:after="0" w:line="240" w:lineRule="auto"/>
        <w:ind w:left="1701" w:hanging="850"/>
        <w:jc w:val="both"/>
        <w:rPr>
          <w:rFonts w:ascii="Arial" w:hAnsi="Arial" w:cs="Arial"/>
        </w:rPr>
      </w:pPr>
      <w:r>
        <w:rPr>
          <w:rFonts w:ascii="Arial" w:hAnsi="Arial" w:cs="Arial"/>
        </w:rPr>
        <w:tab/>
        <w:t xml:space="preserve">(1) </w:t>
      </w:r>
      <w:r w:rsidRPr="009D3938">
        <w:rPr>
          <w:rFonts w:ascii="Arial" w:hAnsi="Arial" w:cs="Arial"/>
        </w:rPr>
        <w:t>£1,</w:t>
      </w:r>
      <w:r>
        <w:rPr>
          <w:rFonts w:ascii="Arial" w:hAnsi="Arial" w:cs="Arial"/>
        </w:rPr>
        <w:t>2</w:t>
      </w:r>
      <w:r w:rsidRPr="009D3938">
        <w:rPr>
          <w:rFonts w:ascii="Arial" w:hAnsi="Arial" w:cs="Arial"/>
        </w:rPr>
        <w:t>00 (NAV) for a single garage.</w:t>
      </w:r>
    </w:p>
    <w:p w14:paraId="454D7FAA" w14:textId="2A763666" w:rsidR="00887BF3" w:rsidRPr="009D3938" w:rsidRDefault="00887BF3" w:rsidP="00AB4E2F">
      <w:pPr>
        <w:pStyle w:val="ListParagraph"/>
        <w:tabs>
          <w:tab w:val="left" w:pos="5360"/>
        </w:tabs>
        <w:spacing w:after="0" w:line="240" w:lineRule="auto"/>
        <w:ind w:left="1702" w:hanging="851"/>
        <w:jc w:val="both"/>
        <w:rPr>
          <w:rFonts w:ascii="Arial" w:hAnsi="Arial" w:cs="Arial"/>
        </w:rPr>
      </w:pPr>
      <w:r>
        <w:rPr>
          <w:rFonts w:ascii="Arial" w:hAnsi="Arial" w:cs="Arial"/>
        </w:rPr>
        <w:tab/>
        <w:t>(2) £1,700 (NAV) for a double garage.</w:t>
      </w:r>
      <w:r>
        <w:rPr>
          <w:rFonts w:ascii="Arial" w:hAnsi="Arial" w:cs="Arial"/>
        </w:rPr>
        <w:tab/>
      </w:r>
    </w:p>
    <w:p w14:paraId="73BF378F" w14:textId="77777777" w:rsidR="00887BF3" w:rsidRPr="00024755" w:rsidRDefault="00887BF3" w:rsidP="00AB4E2F">
      <w:pPr>
        <w:spacing w:after="0" w:line="240" w:lineRule="auto"/>
        <w:rPr>
          <w:rFonts w:ascii="Arial" w:hAnsi="Arial" w:cs="Arial"/>
        </w:rPr>
      </w:pPr>
    </w:p>
    <w:p w14:paraId="24DFFA5F" w14:textId="701C38B0" w:rsidR="00887BF3" w:rsidRDefault="00887BF3" w:rsidP="00AB4E2F">
      <w:pPr>
        <w:spacing w:after="0" w:line="240" w:lineRule="auto"/>
        <w:ind w:left="1701" w:hanging="850"/>
        <w:rPr>
          <w:rFonts w:ascii="Arial" w:hAnsi="Arial" w:cs="Arial"/>
        </w:rPr>
      </w:pPr>
      <w:r>
        <w:rPr>
          <w:rFonts w:ascii="Arial" w:hAnsi="Arial" w:cs="Arial"/>
        </w:rPr>
        <w:t>6.5</w:t>
      </w:r>
      <w:r>
        <w:rPr>
          <w:rFonts w:ascii="Arial" w:hAnsi="Arial" w:cs="Arial"/>
        </w:rPr>
        <w:tab/>
      </w:r>
      <w:r w:rsidRPr="00887BF3">
        <w:rPr>
          <w:rFonts w:ascii="Arial" w:hAnsi="Arial" w:cs="Arial"/>
          <w:b/>
          <w:bCs/>
        </w:rPr>
        <w:t>Sales Office in Structures other than Garages</w:t>
      </w:r>
    </w:p>
    <w:p w14:paraId="3F94CC1A" w14:textId="77777777" w:rsidR="00887BF3" w:rsidRDefault="00887BF3" w:rsidP="00AB4E2F">
      <w:pPr>
        <w:spacing w:after="0" w:line="240" w:lineRule="auto"/>
        <w:ind w:left="1701" w:hanging="850"/>
        <w:jc w:val="both"/>
        <w:rPr>
          <w:rFonts w:ascii="Arial" w:hAnsi="Arial" w:cs="Arial"/>
        </w:rPr>
      </w:pPr>
    </w:p>
    <w:p w14:paraId="4867F8EA" w14:textId="05B7A017" w:rsidR="00887BF3" w:rsidRDefault="00887BF3" w:rsidP="00AB4E2F">
      <w:pPr>
        <w:spacing w:after="0" w:line="240" w:lineRule="auto"/>
        <w:ind w:left="1701" w:hanging="850"/>
        <w:jc w:val="both"/>
        <w:rPr>
          <w:rFonts w:ascii="Arial" w:hAnsi="Arial" w:cs="Arial"/>
        </w:rPr>
      </w:pPr>
      <w:r>
        <w:rPr>
          <w:rFonts w:ascii="Arial" w:hAnsi="Arial" w:cs="Arial"/>
        </w:rPr>
        <w:tab/>
        <w:t xml:space="preserve">Offices in structures other than garages should be valued </w:t>
      </w:r>
      <w:proofErr w:type="gramStart"/>
      <w:r>
        <w:rPr>
          <w:rFonts w:ascii="Arial" w:hAnsi="Arial" w:cs="Arial"/>
        </w:rPr>
        <w:t>on the basis of</w:t>
      </w:r>
      <w:proofErr w:type="gramEnd"/>
      <w:r>
        <w:rPr>
          <w:rFonts w:ascii="Arial" w:hAnsi="Arial" w:cs="Arial"/>
        </w:rPr>
        <w:t xml:space="preserve"> local evidence, but with due regard to the £1,200/£1,700 level of value addition for an office in a garage.</w:t>
      </w:r>
    </w:p>
    <w:p w14:paraId="57C50C10" w14:textId="77777777" w:rsidR="00887BF3" w:rsidRDefault="00887BF3" w:rsidP="00AB4E2F">
      <w:pPr>
        <w:spacing w:after="0" w:line="240" w:lineRule="auto"/>
        <w:jc w:val="both"/>
        <w:rPr>
          <w:rFonts w:ascii="Arial" w:hAnsi="Arial" w:cs="Arial"/>
        </w:rPr>
      </w:pPr>
    </w:p>
    <w:p w14:paraId="3158396C" w14:textId="1D31F823" w:rsidR="007955DC" w:rsidRDefault="007955DC">
      <w:pPr>
        <w:rPr>
          <w:rFonts w:ascii="Arial" w:hAnsi="Arial" w:cs="Arial"/>
        </w:rPr>
      </w:pPr>
      <w:r>
        <w:rPr>
          <w:rFonts w:ascii="Arial" w:hAnsi="Arial" w:cs="Arial"/>
        </w:rPr>
        <w:br w:type="page"/>
      </w:r>
    </w:p>
    <w:p w14:paraId="27521E5B" w14:textId="1A6BC630" w:rsidR="00887BF3" w:rsidRDefault="00887BF3" w:rsidP="00AB4E2F">
      <w:pPr>
        <w:spacing w:after="0" w:line="240" w:lineRule="auto"/>
        <w:ind w:left="1701" w:hanging="850"/>
        <w:rPr>
          <w:rFonts w:ascii="Arial" w:hAnsi="Arial" w:cs="Arial"/>
        </w:rPr>
      </w:pPr>
      <w:r>
        <w:rPr>
          <w:rFonts w:ascii="Arial" w:hAnsi="Arial" w:cs="Arial"/>
        </w:rPr>
        <w:lastRenderedPageBreak/>
        <w:t>6.6</w:t>
      </w:r>
      <w:r>
        <w:rPr>
          <w:rFonts w:ascii="Arial" w:hAnsi="Arial" w:cs="Arial"/>
        </w:rPr>
        <w:tab/>
      </w:r>
      <w:r w:rsidRPr="00887BF3">
        <w:rPr>
          <w:rFonts w:ascii="Arial" w:hAnsi="Arial" w:cs="Arial"/>
          <w:b/>
          <w:bCs/>
        </w:rPr>
        <w:t>Location</w:t>
      </w:r>
    </w:p>
    <w:p w14:paraId="14636380" w14:textId="77777777" w:rsidR="00887BF3" w:rsidRDefault="00887BF3" w:rsidP="00AB4E2F">
      <w:pPr>
        <w:spacing w:after="0" w:line="240" w:lineRule="auto"/>
        <w:ind w:left="1701" w:hanging="850"/>
        <w:jc w:val="both"/>
        <w:rPr>
          <w:rFonts w:ascii="Arial" w:hAnsi="Arial" w:cs="Arial"/>
        </w:rPr>
      </w:pPr>
    </w:p>
    <w:p w14:paraId="47565BB7" w14:textId="339EE6FF" w:rsidR="00887BF3" w:rsidRDefault="00887BF3" w:rsidP="00AB4E2F">
      <w:pPr>
        <w:spacing w:after="0" w:line="240" w:lineRule="auto"/>
        <w:ind w:left="1701" w:hanging="850"/>
        <w:jc w:val="both"/>
        <w:rPr>
          <w:rFonts w:ascii="Arial" w:hAnsi="Arial" w:cs="Arial"/>
        </w:rPr>
      </w:pPr>
      <w:r>
        <w:rPr>
          <w:rFonts w:ascii="Arial" w:hAnsi="Arial" w:cs="Arial"/>
        </w:rPr>
        <w:tab/>
        <w:t>No allowance should be made for location as this will already be reflected in the capital rate/m</w:t>
      </w:r>
      <w:r>
        <w:rPr>
          <w:rFonts w:ascii="Arial" w:hAnsi="Arial" w:cs="Arial"/>
          <w:vertAlign w:val="superscript"/>
        </w:rPr>
        <w:t>2</w:t>
      </w:r>
      <w:r>
        <w:rPr>
          <w:rFonts w:ascii="Arial" w:hAnsi="Arial" w:cs="Arial"/>
        </w:rPr>
        <w:t xml:space="preserve"> applied.</w:t>
      </w:r>
    </w:p>
    <w:p w14:paraId="1B858330" w14:textId="77777777" w:rsidR="00887BF3" w:rsidRPr="00024755" w:rsidRDefault="00887BF3" w:rsidP="00AB4E2F">
      <w:pPr>
        <w:spacing w:after="0" w:line="240" w:lineRule="auto"/>
        <w:rPr>
          <w:rFonts w:ascii="Arial" w:hAnsi="Arial" w:cs="Arial"/>
        </w:rPr>
      </w:pPr>
    </w:p>
    <w:p w14:paraId="5319ABA8" w14:textId="653FB9A6" w:rsidR="00887BF3" w:rsidRDefault="00887BF3" w:rsidP="00AB4E2F">
      <w:pPr>
        <w:spacing w:after="0" w:line="240" w:lineRule="auto"/>
        <w:ind w:left="1701" w:hanging="850"/>
        <w:rPr>
          <w:rFonts w:ascii="Arial" w:hAnsi="Arial" w:cs="Arial"/>
        </w:rPr>
      </w:pPr>
      <w:r>
        <w:rPr>
          <w:rFonts w:ascii="Arial" w:hAnsi="Arial" w:cs="Arial"/>
        </w:rPr>
        <w:t>6.7</w:t>
      </w:r>
      <w:r>
        <w:rPr>
          <w:rFonts w:ascii="Arial" w:hAnsi="Arial" w:cs="Arial"/>
        </w:rPr>
        <w:tab/>
      </w:r>
      <w:r w:rsidRPr="00AB4E2F">
        <w:rPr>
          <w:rFonts w:ascii="Arial" w:hAnsi="Arial" w:cs="Arial"/>
          <w:b/>
          <w:bCs/>
        </w:rPr>
        <w:t>Show House Complexes</w:t>
      </w:r>
    </w:p>
    <w:p w14:paraId="1ADB3575" w14:textId="77777777" w:rsidR="00887BF3" w:rsidRDefault="00887BF3" w:rsidP="00AB4E2F">
      <w:pPr>
        <w:spacing w:after="0" w:line="240" w:lineRule="auto"/>
        <w:ind w:left="1701" w:hanging="850"/>
        <w:jc w:val="both"/>
        <w:rPr>
          <w:rFonts w:ascii="Arial" w:hAnsi="Arial" w:cs="Arial"/>
        </w:rPr>
      </w:pPr>
    </w:p>
    <w:p w14:paraId="6AD95B21" w14:textId="256FFF23" w:rsidR="00887BF3" w:rsidRDefault="00AB4E2F" w:rsidP="00AB4E2F">
      <w:pPr>
        <w:spacing w:after="0" w:line="240" w:lineRule="auto"/>
        <w:ind w:left="1701" w:hanging="850"/>
        <w:jc w:val="both"/>
        <w:rPr>
          <w:rFonts w:ascii="Arial" w:hAnsi="Arial" w:cs="Arial"/>
        </w:rPr>
      </w:pPr>
      <w:r>
        <w:rPr>
          <w:rFonts w:ascii="Arial" w:hAnsi="Arial" w:cs="Arial"/>
        </w:rPr>
        <w:tab/>
      </w:r>
      <w:r w:rsidR="00887BF3">
        <w:rPr>
          <w:rFonts w:ascii="Arial" w:hAnsi="Arial" w:cs="Arial"/>
        </w:rPr>
        <w:t>Where there is a show house complex an element of quantum may exist.  In such circumstances the following deduction from Net Annual Value should be applied.</w:t>
      </w:r>
    </w:p>
    <w:p w14:paraId="5015FE97" w14:textId="77777777" w:rsidR="00B96616" w:rsidRDefault="00B96616" w:rsidP="003E43EA">
      <w:pPr>
        <w:spacing w:after="0"/>
        <w:rPr>
          <w:rFonts w:ascii="Arial" w:hAnsi="Arial" w:cs="Arial"/>
        </w:rPr>
      </w:pPr>
    </w:p>
    <w:tbl>
      <w:tblPr>
        <w:tblStyle w:val="TableGrid"/>
        <w:tblW w:w="0" w:type="auto"/>
        <w:tblInd w:w="18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02"/>
        <w:gridCol w:w="3672"/>
      </w:tblGrid>
      <w:tr w:rsidR="00B96616" w:rsidRPr="00B11ED0" w14:paraId="05C9F5DA" w14:textId="77777777" w:rsidTr="00AB4E2F">
        <w:tc>
          <w:tcPr>
            <w:tcW w:w="4202" w:type="dxa"/>
            <w:shd w:val="clear" w:color="auto" w:fill="D0CECE" w:themeFill="background2" w:themeFillShade="E6"/>
          </w:tcPr>
          <w:p w14:paraId="76D4BBBF" w14:textId="77777777" w:rsidR="00B96616" w:rsidRPr="00B11ED0" w:rsidRDefault="00B96616" w:rsidP="00B11ED0">
            <w:pPr>
              <w:spacing w:line="360" w:lineRule="auto"/>
              <w:jc w:val="center"/>
              <w:rPr>
                <w:rFonts w:ascii="Arial" w:hAnsi="Arial" w:cs="Arial"/>
                <w:b/>
              </w:rPr>
            </w:pPr>
            <w:r w:rsidRPr="00B11ED0">
              <w:rPr>
                <w:rFonts w:ascii="Arial" w:hAnsi="Arial" w:cs="Arial"/>
                <w:b/>
              </w:rPr>
              <w:t>Number of Houses in Complex</w:t>
            </w:r>
          </w:p>
        </w:tc>
        <w:tc>
          <w:tcPr>
            <w:tcW w:w="3672" w:type="dxa"/>
            <w:shd w:val="clear" w:color="auto" w:fill="D0CECE" w:themeFill="background2" w:themeFillShade="E6"/>
          </w:tcPr>
          <w:p w14:paraId="5A3386DF" w14:textId="77777777" w:rsidR="00B96616" w:rsidRPr="00B11ED0" w:rsidRDefault="00B11ED0" w:rsidP="00B11ED0">
            <w:pPr>
              <w:spacing w:line="360" w:lineRule="auto"/>
              <w:jc w:val="center"/>
              <w:rPr>
                <w:rFonts w:ascii="Arial" w:hAnsi="Arial" w:cs="Arial"/>
                <w:b/>
              </w:rPr>
            </w:pPr>
            <w:r w:rsidRPr="00B11ED0">
              <w:rPr>
                <w:rFonts w:ascii="Arial" w:hAnsi="Arial" w:cs="Arial"/>
                <w:b/>
              </w:rPr>
              <w:t>Deduction</w:t>
            </w:r>
          </w:p>
        </w:tc>
      </w:tr>
      <w:tr w:rsidR="00B11ED0" w14:paraId="1E73D1F9" w14:textId="77777777" w:rsidTr="00AB4E2F">
        <w:tc>
          <w:tcPr>
            <w:tcW w:w="4202" w:type="dxa"/>
          </w:tcPr>
          <w:p w14:paraId="2FE961B2" w14:textId="77777777" w:rsidR="00B11ED0" w:rsidRDefault="00B11ED0" w:rsidP="00083ECC">
            <w:pPr>
              <w:spacing w:line="360" w:lineRule="auto"/>
              <w:rPr>
                <w:rFonts w:ascii="Arial" w:hAnsi="Arial" w:cs="Arial"/>
              </w:rPr>
            </w:pPr>
            <w:r>
              <w:rPr>
                <w:rFonts w:ascii="Arial" w:hAnsi="Arial" w:cs="Arial"/>
              </w:rPr>
              <w:t xml:space="preserve">3-4 </w:t>
            </w:r>
            <w:r w:rsidR="00083ECC">
              <w:rPr>
                <w:rFonts w:ascii="Arial" w:hAnsi="Arial" w:cs="Arial"/>
              </w:rPr>
              <w:t>s</w:t>
            </w:r>
            <w:r>
              <w:rPr>
                <w:rFonts w:ascii="Arial" w:hAnsi="Arial" w:cs="Arial"/>
              </w:rPr>
              <w:t>how</w:t>
            </w:r>
            <w:r w:rsidR="00083ECC">
              <w:rPr>
                <w:rFonts w:ascii="Arial" w:hAnsi="Arial" w:cs="Arial"/>
              </w:rPr>
              <w:t xml:space="preserve"> </w:t>
            </w:r>
            <w:r>
              <w:rPr>
                <w:rFonts w:ascii="Arial" w:hAnsi="Arial" w:cs="Arial"/>
              </w:rPr>
              <w:t>houses</w:t>
            </w:r>
          </w:p>
        </w:tc>
        <w:tc>
          <w:tcPr>
            <w:tcW w:w="3672" w:type="dxa"/>
          </w:tcPr>
          <w:p w14:paraId="2755B7AB" w14:textId="77777777" w:rsidR="00B11ED0" w:rsidRDefault="00B11ED0" w:rsidP="00083ECC">
            <w:pPr>
              <w:spacing w:line="360" w:lineRule="auto"/>
              <w:jc w:val="center"/>
              <w:rPr>
                <w:rFonts w:ascii="Arial" w:hAnsi="Arial" w:cs="Arial"/>
              </w:rPr>
            </w:pPr>
            <w:r>
              <w:rPr>
                <w:rFonts w:ascii="Arial" w:hAnsi="Arial" w:cs="Arial"/>
              </w:rPr>
              <w:t>5%</w:t>
            </w:r>
          </w:p>
        </w:tc>
      </w:tr>
      <w:tr w:rsidR="00B11ED0" w14:paraId="705CE5B6" w14:textId="77777777" w:rsidTr="00AB4E2F">
        <w:tc>
          <w:tcPr>
            <w:tcW w:w="4202" w:type="dxa"/>
          </w:tcPr>
          <w:p w14:paraId="5C4AEF6F" w14:textId="77777777" w:rsidR="00B11ED0" w:rsidRDefault="00B11ED0" w:rsidP="00083ECC">
            <w:pPr>
              <w:spacing w:line="360" w:lineRule="auto"/>
              <w:rPr>
                <w:rFonts w:ascii="Arial" w:hAnsi="Arial" w:cs="Arial"/>
              </w:rPr>
            </w:pPr>
            <w:r>
              <w:rPr>
                <w:rFonts w:ascii="Arial" w:hAnsi="Arial" w:cs="Arial"/>
              </w:rPr>
              <w:t xml:space="preserve">5 or more </w:t>
            </w:r>
            <w:r w:rsidR="00083ECC">
              <w:rPr>
                <w:rFonts w:ascii="Arial" w:hAnsi="Arial" w:cs="Arial"/>
              </w:rPr>
              <w:t>s</w:t>
            </w:r>
            <w:r>
              <w:rPr>
                <w:rFonts w:ascii="Arial" w:hAnsi="Arial" w:cs="Arial"/>
              </w:rPr>
              <w:t>how</w:t>
            </w:r>
            <w:r w:rsidR="00083ECC">
              <w:rPr>
                <w:rFonts w:ascii="Arial" w:hAnsi="Arial" w:cs="Arial"/>
              </w:rPr>
              <w:t xml:space="preserve"> </w:t>
            </w:r>
            <w:r>
              <w:rPr>
                <w:rFonts w:ascii="Arial" w:hAnsi="Arial" w:cs="Arial"/>
              </w:rPr>
              <w:t>houses</w:t>
            </w:r>
          </w:p>
        </w:tc>
        <w:tc>
          <w:tcPr>
            <w:tcW w:w="3672" w:type="dxa"/>
          </w:tcPr>
          <w:p w14:paraId="41D05515" w14:textId="77777777" w:rsidR="00B11ED0" w:rsidRDefault="00B11ED0" w:rsidP="00083ECC">
            <w:pPr>
              <w:spacing w:line="360" w:lineRule="auto"/>
              <w:jc w:val="center"/>
              <w:rPr>
                <w:rFonts w:ascii="Arial" w:hAnsi="Arial" w:cs="Arial"/>
              </w:rPr>
            </w:pPr>
            <w:r>
              <w:rPr>
                <w:rFonts w:ascii="Arial" w:hAnsi="Arial" w:cs="Arial"/>
              </w:rPr>
              <w:t>10%</w:t>
            </w:r>
          </w:p>
        </w:tc>
      </w:tr>
    </w:tbl>
    <w:p w14:paraId="5A1A0D3B" w14:textId="549B9E08" w:rsidR="00B8136C" w:rsidRDefault="00B8136C" w:rsidP="00B8136C">
      <w:pPr>
        <w:spacing w:after="0"/>
        <w:jc w:val="right"/>
        <w:rPr>
          <w:rFonts w:ascii="Arial" w:hAnsi="Arial" w:cs="Arial"/>
        </w:rPr>
      </w:pPr>
    </w:p>
    <w:sectPr w:rsidR="00B8136C" w:rsidSect="008D4BBE">
      <w:footerReference w:type="default" r:id="rId15"/>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DCFD3" w14:textId="77777777" w:rsidR="00A25A8A" w:rsidRDefault="00A25A8A" w:rsidP="00A25A8A">
      <w:pPr>
        <w:spacing w:after="0" w:line="240" w:lineRule="auto"/>
      </w:pPr>
      <w:r>
        <w:separator/>
      </w:r>
    </w:p>
  </w:endnote>
  <w:endnote w:type="continuationSeparator" w:id="0">
    <w:p w14:paraId="0C6B8C7E" w14:textId="77777777" w:rsidR="00A25A8A" w:rsidRDefault="00A25A8A" w:rsidP="00A25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1A7BB" w14:textId="77777777" w:rsidR="00B32770" w:rsidRDefault="00B32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8D73" w14:textId="23623ED9" w:rsidR="00651ABB" w:rsidRPr="00694528" w:rsidRDefault="00651ABB" w:rsidP="007955DC">
    <w:pPr>
      <w:pStyle w:val="Footer"/>
      <w:tabs>
        <w:tab w:val="clear" w:pos="9026"/>
        <w:tab w:val="right" w:pos="9498"/>
      </w:tabs>
      <w:jc w:val="center"/>
      <w:rPr>
        <w:rFonts w:ascii="Arial" w:hAnsi="Arial" w:cs="Arial"/>
        <w:color w:val="000000" w:themeColor="text1"/>
        <w:sz w:val="20"/>
        <w:szCs w:val="20"/>
      </w:rPr>
    </w:pPr>
    <w:r w:rsidRPr="00694528">
      <w:rPr>
        <w:rFonts w:ascii="Arial" w:hAnsi="Arial" w:cs="Arial"/>
        <w:color w:val="000000" w:themeColor="text1"/>
        <w:sz w:val="20"/>
        <w:szCs w:val="20"/>
      </w:rPr>
      <w:t>R2023 CPC PN</w:t>
    </w:r>
    <w:r>
      <w:rPr>
        <w:rFonts w:ascii="Arial" w:hAnsi="Arial" w:cs="Arial"/>
        <w:color w:val="000000" w:themeColor="text1"/>
        <w:sz w:val="20"/>
        <w:szCs w:val="20"/>
      </w:rPr>
      <w:t xml:space="preserve"> 15</w:t>
    </w:r>
    <w:r w:rsidRPr="00694528">
      <w:rPr>
        <w:rFonts w:ascii="Arial" w:hAnsi="Arial" w:cs="Arial"/>
        <w:color w:val="000000" w:themeColor="text1"/>
        <w:sz w:val="20"/>
        <w:szCs w:val="20"/>
      </w:rPr>
      <w:tab/>
    </w:r>
    <w:r w:rsidRPr="00694528">
      <w:rPr>
        <w:rFonts w:ascii="Arial" w:hAnsi="Arial" w:cs="Arial"/>
        <w:color w:val="000000" w:themeColor="text1"/>
        <w:sz w:val="20"/>
        <w:szCs w:val="20"/>
      </w:rPr>
      <w:tab/>
      <w:t xml:space="preserve">Page </w:t>
    </w:r>
    <w:r w:rsidRPr="00AB4E2F">
      <w:rPr>
        <w:rFonts w:ascii="Arial" w:hAnsi="Arial" w:cs="Arial"/>
        <w:color w:val="000000" w:themeColor="text1"/>
        <w:sz w:val="20"/>
        <w:szCs w:val="20"/>
      </w:rPr>
      <w:fldChar w:fldCharType="begin"/>
    </w:r>
    <w:r w:rsidRPr="00AB4E2F">
      <w:rPr>
        <w:rFonts w:ascii="Arial" w:hAnsi="Arial" w:cs="Arial"/>
        <w:color w:val="000000" w:themeColor="text1"/>
        <w:sz w:val="20"/>
        <w:szCs w:val="20"/>
      </w:rPr>
      <w:instrText xml:space="preserve"> PAGE  \* Arabic  \* MERGEFORMAT </w:instrText>
    </w:r>
    <w:r w:rsidRPr="00AB4E2F">
      <w:rPr>
        <w:rFonts w:ascii="Arial" w:hAnsi="Arial" w:cs="Arial"/>
        <w:color w:val="000000" w:themeColor="text1"/>
        <w:sz w:val="20"/>
        <w:szCs w:val="20"/>
      </w:rPr>
      <w:fldChar w:fldCharType="separate"/>
    </w:r>
    <w:r w:rsidRPr="00AB4E2F">
      <w:rPr>
        <w:rFonts w:ascii="Arial" w:hAnsi="Arial" w:cs="Arial"/>
        <w:color w:val="000000" w:themeColor="text1"/>
        <w:sz w:val="20"/>
        <w:szCs w:val="20"/>
      </w:rPr>
      <w:t>1</w:t>
    </w:r>
    <w:r w:rsidRPr="00AB4E2F">
      <w:rPr>
        <w:rFonts w:ascii="Arial" w:hAnsi="Arial" w:cs="Arial"/>
        <w:color w:val="000000" w:themeColor="text1"/>
        <w:sz w:val="20"/>
        <w:szCs w:val="20"/>
      </w:rPr>
      <w:fldChar w:fldCharType="end"/>
    </w:r>
    <w:r w:rsidRPr="00694528">
      <w:rPr>
        <w:rFonts w:ascii="Arial" w:hAnsi="Arial" w:cs="Arial"/>
        <w:color w:val="000000" w:themeColor="text1"/>
        <w:sz w:val="20"/>
        <w:szCs w:val="20"/>
      </w:rPr>
      <w:t xml:space="preserve"> of </w:t>
    </w:r>
    <w:r w:rsidRPr="00AB4E2F">
      <w:rPr>
        <w:rFonts w:ascii="Arial" w:hAnsi="Arial" w:cs="Arial"/>
        <w:color w:val="000000" w:themeColor="text1"/>
        <w:sz w:val="20"/>
        <w:szCs w:val="20"/>
      </w:rPr>
      <w:fldChar w:fldCharType="begin"/>
    </w:r>
    <w:r w:rsidRPr="00AB4E2F">
      <w:rPr>
        <w:rFonts w:ascii="Arial" w:hAnsi="Arial" w:cs="Arial"/>
        <w:color w:val="000000" w:themeColor="text1"/>
        <w:sz w:val="20"/>
        <w:szCs w:val="20"/>
      </w:rPr>
      <w:instrText xml:space="preserve"> NUMPAGES  \* Arabic  \* MERGEFORMAT </w:instrText>
    </w:r>
    <w:r w:rsidRPr="00AB4E2F">
      <w:rPr>
        <w:rFonts w:ascii="Arial" w:hAnsi="Arial" w:cs="Arial"/>
        <w:color w:val="000000" w:themeColor="text1"/>
        <w:sz w:val="20"/>
        <w:szCs w:val="20"/>
      </w:rPr>
      <w:fldChar w:fldCharType="separate"/>
    </w:r>
    <w:r w:rsidRPr="00AB4E2F">
      <w:rPr>
        <w:rFonts w:ascii="Arial" w:hAnsi="Arial" w:cs="Arial"/>
        <w:color w:val="000000" w:themeColor="text1"/>
        <w:sz w:val="20"/>
        <w:szCs w:val="20"/>
      </w:rPr>
      <w:t>6</w:t>
    </w:r>
    <w:r w:rsidRPr="00AB4E2F">
      <w:rPr>
        <w:rFonts w:ascii="Arial" w:hAnsi="Arial" w:cs="Arial"/>
        <w:color w:val="000000" w:themeColor="text1"/>
        <w:sz w:val="20"/>
        <w:szCs w:val="20"/>
      </w:rPr>
      <w:fldChar w:fldCharType="end"/>
    </w:r>
  </w:p>
  <w:p w14:paraId="656E8A07" w14:textId="65FAF1EF" w:rsidR="00081A1B" w:rsidRPr="00081A1B" w:rsidRDefault="00081A1B" w:rsidP="00651ABB">
    <w:pPr>
      <w:pStyle w:val="Footer"/>
      <w:tabs>
        <w:tab w:val="clear" w:pos="4513"/>
        <w:tab w:val="clear" w:pos="9026"/>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29511" w14:textId="77777777" w:rsidR="00B32770" w:rsidRDefault="00B327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403DC" w14:textId="34C66E47" w:rsidR="00AB4E2F" w:rsidRPr="00AB4E2F" w:rsidRDefault="00AB4E2F" w:rsidP="00AB4E2F">
    <w:pPr>
      <w:pStyle w:val="Footer"/>
      <w:tabs>
        <w:tab w:val="clear" w:pos="4513"/>
        <w:tab w:val="clear" w:pos="9026"/>
        <w:tab w:val="right" w:pos="9498"/>
      </w:tabs>
      <w:ind w:right="-1"/>
      <w:rPr>
        <w:rFonts w:ascii="Arial" w:hAnsi="Arial" w:cs="Arial"/>
        <w:sz w:val="20"/>
        <w:szCs w:val="20"/>
      </w:rPr>
    </w:pPr>
    <w:r w:rsidRPr="00AB4E2F">
      <w:rPr>
        <w:rFonts w:ascii="Arial" w:hAnsi="Arial" w:cs="Arial"/>
        <w:sz w:val="20"/>
        <w:szCs w:val="20"/>
      </w:rPr>
      <w:t>R2023 CPC PN 15</w:t>
    </w:r>
    <w:r w:rsidRPr="00AB4E2F">
      <w:rPr>
        <w:rFonts w:ascii="Arial" w:hAnsi="Arial" w:cs="Arial"/>
        <w:sz w:val="20"/>
        <w:szCs w:val="20"/>
      </w:rPr>
      <w:tab/>
      <w:t xml:space="preserve">Page </w:t>
    </w:r>
    <w:r w:rsidRPr="00AB4E2F">
      <w:rPr>
        <w:rStyle w:val="PageNumber"/>
        <w:rFonts w:ascii="Arial" w:hAnsi="Arial" w:cs="Arial"/>
        <w:sz w:val="20"/>
        <w:szCs w:val="20"/>
      </w:rPr>
      <w:fldChar w:fldCharType="begin"/>
    </w:r>
    <w:r w:rsidRPr="00AB4E2F">
      <w:rPr>
        <w:rStyle w:val="PageNumber"/>
        <w:rFonts w:ascii="Arial" w:hAnsi="Arial" w:cs="Arial"/>
        <w:sz w:val="20"/>
        <w:szCs w:val="20"/>
      </w:rPr>
      <w:instrText xml:space="preserve"> PAGE </w:instrText>
    </w:r>
    <w:r w:rsidRPr="00AB4E2F">
      <w:rPr>
        <w:rStyle w:val="PageNumber"/>
        <w:rFonts w:ascii="Arial" w:hAnsi="Arial" w:cs="Arial"/>
        <w:sz w:val="20"/>
        <w:szCs w:val="20"/>
      </w:rPr>
      <w:fldChar w:fldCharType="separate"/>
    </w:r>
    <w:r w:rsidRPr="00AB4E2F">
      <w:rPr>
        <w:rStyle w:val="PageNumber"/>
        <w:rFonts w:ascii="Arial" w:hAnsi="Arial" w:cs="Arial"/>
        <w:sz w:val="20"/>
        <w:szCs w:val="20"/>
      </w:rPr>
      <w:t>1</w:t>
    </w:r>
    <w:r w:rsidRPr="00AB4E2F">
      <w:rPr>
        <w:rStyle w:val="PageNumber"/>
        <w:rFonts w:ascii="Arial" w:hAnsi="Arial" w:cs="Arial"/>
        <w:sz w:val="20"/>
        <w:szCs w:val="20"/>
      </w:rPr>
      <w:fldChar w:fldCharType="end"/>
    </w:r>
    <w:r w:rsidRPr="00AB4E2F">
      <w:rPr>
        <w:rStyle w:val="PageNumber"/>
        <w:rFonts w:ascii="Arial" w:hAnsi="Arial" w:cs="Arial"/>
        <w:sz w:val="20"/>
        <w:szCs w:val="20"/>
      </w:rPr>
      <w:t xml:space="preserve"> of </w:t>
    </w:r>
    <w:r w:rsidRPr="00AB4E2F">
      <w:rPr>
        <w:rStyle w:val="PageNumber"/>
        <w:rFonts w:ascii="Arial" w:hAnsi="Arial" w:cs="Arial"/>
        <w:sz w:val="20"/>
        <w:szCs w:val="20"/>
      </w:rPr>
      <w:fldChar w:fldCharType="begin"/>
    </w:r>
    <w:r w:rsidRPr="00AB4E2F">
      <w:rPr>
        <w:rStyle w:val="PageNumber"/>
        <w:rFonts w:ascii="Arial" w:hAnsi="Arial" w:cs="Arial"/>
        <w:sz w:val="20"/>
        <w:szCs w:val="20"/>
      </w:rPr>
      <w:instrText xml:space="preserve"> NUMPAGES </w:instrText>
    </w:r>
    <w:r w:rsidRPr="00AB4E2F">
      <w:rPr>
        <w:rStyle w:val="PageNumber"/>
        <w:rFonts w:ascii="Arial" w:hAnsi="Arial" w:cs="Arial"/>
        <w:sz w:val="20"/>
        <w:szCs w:val="20"/>
      </w:rPr>
      <w:fldChar w:fldCharType="separate"/>
    </w:r>
    <w:r w:rsidRPr="00AB4E2F">
      <w:rPr>
        <w:rStyle w:val="PageNumber"/>
        <w:rFonts w:ascii="Arial" w:hAnsi="Arial" w:cs="Arial"/>
        <w:sz w:val="20"/>
        <w:szCs w:val="20"/>
      </w:rPr>
      <w:t>2</w:t>
    </w:r>
    <w:r w:rsidRPr="00AB4E2F">
      <w:rPr>
        <w:rStyle w:val="PageNumber"/>
        <w:rFonts w:ascii="Arial" w:hAnsi="Arial" w:cs="Arial"/>
        <w:sz w:val="20"/>
        <w:szCs w:val="20"/>
      </w:rPr>
      <w:fldChar w:fldCharType="end"/>
    </w:r>
    <w:r w:rsidRPr="00AB4E2F">
      <w:rPr>
        <w:rStyle w:val="PageNumber"/>
        <w:rFonts w:ascii="Arial" w:hAnsi="Arial" w:cs="Arial"/>
        <w:sz w:val="20"/>
        <w:szCs w:val="20"/>
      </w:rPr>
      <w:t xml:space="preserve"> </w:t>
    </w:r>
  </w:p>
  <w:p w14:paraId="4926466E" w14:textId="1B66FE3C" w:rsidR="0017662F" w:rsidRPr="0017662F" w:rsidRDefault="0017662F" w:rsidP="00AB4E2F">
    <w:pPr>
      <w:pStyle w:val="Footer"/>
      <w:tabs>
        <w:tab w:val="clear" w:pos="4513"/>
        <w:tab w:val="clear" w:pos="9026"/>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5BDB1D" w14:textId="77777777" w:rsidR="00A25A8A" w:rsidRDefault="00A25A8A" w:rsidP="00A25A8A">
      <w:pPr>
        <w:spacing w:after="0" w:line="240" w:lineRule="auto"/>
      </w:pPr>
      <w:r>
        <w:separator/>
      </w:r>
    </w:p>
  </w:footnote>
  <w:footnote w:type="continuationSeparator" w:id="0">
    <w:p w14:paraId="3484DADD" w14:textId="77777777" w:rsidR="00A25A8A" w:rsidRDefault="00A25A8A" w:rsidP="00A25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40EB6" w14:textId="77777777" w:rsidR="00B32770" w:rsidRDefault="00B32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2704" w14:textId="70FB31A0" w:rsidR="00B32770" w:rsidRDefault="00B32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2DFC1" w14:textId="77777777" w:rsidR="00B32770" w:rsidRDefault="00B32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BC602F"/>
    <w:multiLevelType w:val="hybridMultilevel"/>
    <w:tmpl w:val="40B25DD6"/>
    <w:lvl w:ilvl="0" w:tplc="3892CC9E">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63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B5B"/>
    <w:rsid w:val="00024755"/>
    <w:rsid w:val="0003604B"/>
    <w:rsid w:val="00081A1B"/>
    <w:rsid w:val="00083ECC"/>
    <w:rsid w:val="00085E8B"/>
    <w:rsid w:val="000945EB"/>
    <w:rsid w:val="000B7E02"/>
    <w:rsid w:val="000C31CE"/>
    <w:rsid w:val="00130181"/>
    <w:rsid w:val="001465AA"/>
    <w:rsid w:val="00175379"/>
    <w:rsid w:val="0017662F"/>
    <w:rsid w:val="001E4C7F"/>
    <w:rsid w:val="001E6489"/>
    <w:rsid w:val="001F3435"/>
    <w:rsid w:val="002602BD"/>
    <w:rsid w:val="002E2B9B"/>
    <w:rsid w:val="002E6ECE"/>
    <w:rsid w:val="00311A52"/>
    <w:rsid w:val="00393022"/>
    <w:rsid w:val="003A29DE"/>
    <w:rsid w:val="003E43EA"/>
    <w:rsid w:val="00416982"/>
    <w:rsid w:val="0042425C"/>
    <w:rsid w:val="00452105"/>
    <w:rsid w:val="00454B04"/>
    <w:rsid w:val="004C07E0"/>
    <w:rsid w:val="00597354"/>
    <w:rsid w:val="00651ABB"/>
    <w:rsid w:val="006D3D69"/>
    <w:rsid w:val="006D3DB5"/>
    <w:rsid w:val="006F6216"/>
    <w:rsid w:val="00730AB3"/>
    <w:rsid w:val="007955DC"/>
    <w:rsid w:val="007A2FD3"/>
    <w:rsid w:val="00823EBE"/>
    <w:rsid w:val="00865C51"/>
    <w:rsid w:val="008837B7"/>
    <w:rsid w:val="00887BF3"/>
    <w:rsid w:val="008D4BBE"/>
    <w:rsid w:val="00900C03"/>
    <w:rsid w:val="009D3938"/>
    <w:rsid w:val="009F56AC"/>
    <w:rsid w:val="009F7436"/>
    <w:rsid w:val="00A25A8A"/>
    <w:rsid w:val="00A646E8"/>
    <w:rsid w:val="00AB1590"/>
    <w:rsid w:val="00AB4E2F"/>
    <w:rsid w:val="00B11ED0"/>
    <w:rsid w:val="00B24D1F"/>
    <w:rsid w:val="00B31889"/>
    <w:rsid w:val="00B32770"/>
    <w:rsid w:val="00B44E34"/>
    <w:rsid w:val="00B8136C"/>
    <w:rsid w:val="00B96616"/>
    <w:rsid w:val="00C155AC"/>
    <w:rsid w:val="00C541F1"/>
    <w:rsid w:val="00CB7F4C"/>
    <w:rsid w:val="00CC4B5B"/>
    <w:rsid w:val="00D613BF"/>
    <w:rsid w:val="00D714E8"/>
    <w:rsid w:val="00D90520"/>
    <w:rsid w:val="00DA1C04"/>
    <w:rsid w:val="00DD47AE"/>
    <w:rsid w:val="00E372B2"/>
    <w:rsid w:val="00E379ED"/>
    <w:rsid w:val="00E93CF9"/>
    <w:rsid w:val="00F34581"/>
    <w:rsid w:val="00F75028"/>
    <w:rsid w:val="00FE71B3"/>
    <w:rsid w:val="00FF7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8715C42"/>
  <w15:docId w15:val="{15A59E81-BCA6-477C-AF7E-1732269F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Theme="minorHAnsi" w:hAnsi="Palatino Linotype"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3938"/>
    <w:pPr>
      <w:ind w:left="720"/>
      <w:contextualSpacing/>
    </w:pPr>
  </w:style>
  <w:style w:type="paragraph" w:styleId="BalloonText">
    <w:name w:val="Balloon Text"/>
    <w:basedOn w:val="Normal"/>
    <w:link w:val="BalloonTextChar"/>
    <w:uiPriority w:val="99"/>
    <w:semiHidden/>
    <w:unhideWhenUsed/>
    <w:rsid w:val="00DD4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7AE"/>
    <w:rPr>
      <w:rFonts w:ascii="Segoe UI" w:hAnsi="Segoe UI" w:cs="Segoe UI"/>
      <w:sz w:val="18"/>
      <w:szCs w:val="18"/>
    </w:rPr>
  </w:style>
  <w:style w:type="paragraph" w:styleId="Header">
    <w:name w:val="header"/>
    <w:basedOn w:val="Normal"/>
    <w:link w:val="HeaderChar"/>
    <w:uiPriority w:val="99"/>
    <w:unhideWhenUsed/>
    <w:rsid w:val="00A25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A8A"/>
  </w:style>
  <w:style w:type="paragraph" w:styleId="Footer">
    <w:name w:val="footer"/>
    <w:basedOn w:val="Normal"/>
    <w:link w:val="FooterChar"/>
    <w:unhideWhenUsed/>
    <w:rsid w:val="00A25A8A"/>
    <w:pPr>
      <w:tabs>
        <w:tab w:val="center" w:pos="4513"/>
        <w:tab w:val="right" w:pos="9026"/>
      </w:tabs>
      <w:spacing w:after="0" w:line="240" w:lineRule="auto"/>
    </w:pPr>
  </w:style>
  <w:style w:type="character" w:customStyle="1" w:styleId="FooterChar">
    <w:name w:val="Footer Char"/>
    <w:basedOn w:val="DefaultParagraphFont"/>
    <w:link w:val="Footer"/>
    <w:rsid w:val="00A25A8A"/>
  </w:style>
  <w:style w:type="character" w:styleId="PageNumber">
    <w:name w:val="page number"/>
    <w:basedOn w:val="DefaultParagraphFont"/>
    <w:rsid w:val="00AB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AED55-D0F3-4C9B-9811-3ADAE931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WATSON</dc:creator>
  <cp:lastModifiedBy>McInerney, Jean</cp:lastModifiedBy>
  <cp:revision>4</cp:revision>
  <cp:lastPrinted>2022-06-07T07:02:00Z</cp:lastPrinted>
  <dcterms:created xsi:type="dcterms:W3CDTF">2024-08-28T09:03:00Z</dcterms:created>
  <dcterms:modified xsi:type="dcterms:W3CDTF">2024-08-28T09:28:00Z</dcterms:modified>
  <cp:contentStatus/>
</cp:coreProperties>
</file>